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 NW_28287 (Nordrhein-Westfalen) — Ersatzvornahme</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Wird die Verpflichtung, eine Handlung vorzunehmen, deren Vornahme durch einen anderen möglich ist (vertretbare Handlung), nicht erfüllt, so kann die Vollzugsbehörde auf Kosten des Betroffenen die Handlung selbst ausführen oder einen anderen mit der Ausführung beauftragen. Entsprechende Kostenanforderungen sind sofort vollziehbar.</w:t>
      </w:r>
    </w:p>
    <w:p>
      <w:r>
        <w:t xml:space="preserve">(2) Es kann bestimmt werden, dass der Betroffene die voraussichtlichen Kosten der Ersatzvornahme im Voraus zu zahlen hat. Zahlt der Betroffene die Kosten der Ersatzvornahme oder die voraussichtlich entstehenden Kosten der Ersatzvornahme nicht fristgerecht, so können sie im Verwaltungszwangsverfahren beigetrieben werden. Die Beitreibung der voraussichtlichen Kosten unterbleibt, sobald der Betroffene die gebotene Handlung ausführt.</w:t>
      </w:r>
    </w:p>
    <w:p>
      <w:r>
        <w:t xml:space="preserve">(3) Zahlt der Betroffene die Kosten der Ersatzvornahme nicht bis zu dem Tag, der sich aus der Fristsetzung ergibt, so hat er für den Kostenbetrag von diesem Tage an bis zum Tage der Erstattung Zinsen zu entrichten. Der Zinssatz für das Jahr beträgt drei Prozentpunkte über dem Basiszinssatz des § 247 des Bürgerlichen Gesetzbuches. Liegt der Gesamtbetrag der Zinsen unter 50 Euro, ist von der Erhebung abzusehen. Die Zinsforderung kann im Verwaltungszwangsverfahren beigetrieben werden.</w:t>
      </w:r>
    </w:p>
    <w:p>
      <w:r>
        <w:t xml:space="preserve">(4) Grundstücksbezogene Kosten der Ersatzvornahme ruhen als öffentliche Last auf dem Grundstück beziehungsweise auf den grundstücksgleichen Rechten.</w:t>
      </w:r>
    </w:p>
    <w:p>
      <w:r>
        <w:rPr>
          <w:color w:val="555555"/>
          <w:sz w:val="17"/>
        </w:rPr>
        <w:t xml:space="preserve">Zitiervorschlag: § 59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https://recht.nulegal.eu/gesetze/NW_28287/59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