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NW_28287 (Nordrhein-Westfalen) — Verhältnismäßigkeit</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Zwangsmittel muss in einem angemessenen Verhältnis zu seinem Zweck stehen. Dabei ist das Zwangsmittel möglichst so zu bestimmen, dass der Einzelne und die Allgemeinheit am wenigsten beeinträchtigt werden.</w:t>
      </w:r>
    </w:p>
    <w:p>
      <w:r>
        <w:t xml:space="preserve">(2) Ein durch ein Zwangsmittel zu erwartender Schaden darf nicht erkennbar außer Verhältnis zu dem beabsichtigten Erfolg stehen.</w:t>
      </w:r>
    </w:p>
    <w:p>
      <w:r>
        <w:t xml:space="preserve">(3) Unmittelbarer Zwang darf nur angewendet werden, wenn andere Zwangsmittel nicht zum Ziele führen oder untunlich sind. Bei der Anwendung unmittelbaren Zwanges sind unter mehreren möglichen und geeigneten Maßnahmen diejenigen zu treffen, die den Einzelnen und die Allgemeinheit am wenigsten beeinträchtigen.</w:t>
      </w:r>
    </w:p>
    <w:p>
      <w:r>
        <w:rPr>
          <w:color w:val="555555"/>
          <w:sz w:val="17"/>
        </w:rPr>
        <w:t xml:space="preserve">Zitiervorschlag: § 58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NW_28287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