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NW_28287 (Nordrhein-Westfalen) — Zulässigkeit des Verwaltungszwanges</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Verwaltungsakt, der auf die Vornahme einer Handlung oder auf Duldung oder Unterlassung gerichtet ist, kann mit Zwangsmitteln durchgesetzt werden, wenn er unanfechtbar ist oder wenn ein Rechtsmittel keine aufschiebende Wirkung hat.</w:t>
      </w:r>
    </w:p>
    <w:p>
      <w:r>
        <w:t xml:space="preserve">(2) Der Verwaltungszwang kann ohne vorausgehenden Verwaltungsakt angewendet werden, wenn das zur Abwehr einer gegenwärtigen Gefahr notwendig ist und die Vollzugsbehörde hierbei innerhalb ihrer Befugnisse handelt.</w:t>
      </w:r>
    </w:p>
    <w:p>
      <w:r>
        <w:t xml:space="preserve">(3) Ist der Verwaltungsakt auf Herausgabe einer Sache gerichtet und bestreitet der Betroffene, sie zu besitzen, so findet § 44 Absatz 3 und 4 sinngemäß Anwendung.</w:t>
      </w:r>
    </w:p>
    <w:p>
      <w:r>
        <w:rPr>
          <w:color w:val="555555"/>
          <w:sz w:val="17"/>
        </w:rPr>
        <w:t xml:space="preserve">Zitiervorschlag: § 55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