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NW_28287 (Nordrhein-Westfalen) — Sicherung von Ansprüchen durch Arrestanordnung</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Sicherung von Ansprüchen, die im Zwangsverfahren beitreibbar sind, kann das Amtsgericht, in dessen Bezirk sich der mit Arrest zu belegene Gegenstand befindet, auf Antrag des Vollstreckungsgläubigers den Arrest in das bewegliche oder unbewegliche Vermögen des Pflichtigen anordnen, wenn zu befürchten ist, dass sonst die Erzwingung vereitelt oder wesentlich erschwert wird. Es kann den Arrest auch dann anordnen, wenn der Anspruch noch nicht zahlenmäßig feststeht. In der Arrestanordnung ist ein Geldbetrag zu bestimmen, bei dessen Hinterlegung die Vollziehung des Arrestes gehemmt und der vollzogene Arrest aufzuheben ist. Die Entscheidung des Arrestgerichts ergeht ohne mündliche Verhandlung und ist nach den Vorschriften der Zivilprozessordnung anfechtbar.</w:t>
      </w:r>
    </w:p>
    <w:p>
      <w:r>
        <w:t xml:space="preserve">(2) Die Vollstreckungsbehörde kann ebenfalls den Arrest anordnen; Absatz 1 Satz 1 bis 3 gilt sinngemäß.</w:t>
      </w:r>
    </w:p>
    <w:p>
      <w:r>
        <w:t xml:space="preserve">(3) Die Arrestanordnung ist zu begründen und zuzustellen.</w:t>
      </w:r>
    </w:p>
    <w:p>
      <w:r>
        <w:t xml:space="preserve">(4) Die Vollziehung der Arrestanordnung ist unzulässig, wenn seit dem Tag, an dem die Anordnung zugestellt worden ist, ein Monat verstrichen ist. Auf die Vollziehung des Arrestes finden die §§ 930 bis 932 der Zivilprozessordnung sowie § 99 Absatz 2 und § 106 Absatz 1, 3 und 5 des Gesetzes über Rechte an Luftfahrzeugen in der im Bundesgesetzblatt Teil III, Gliederungsnummer 403-9, veröffentlichten bereinigten Fassung in der jeweils geltenden Fassung entsprechende Anwendung; an die Stelle des Arrestgerichtes tritt die Vollstreckungsbehörde, an die Stelle des Vollstreckungsbeamten der Justizverwaltung der Vollziehungsbeamte. Soweit auf die Vorschriften über die Pfändung verwiesen wird, sind die entsprechenden Vorschriften dieses Gesetzes anzuwenden.</w:t>
      </w:r>
    </w:p>
    <w:p>
      <w:r>
        <w:t xml:space="preserve">(5) Die Arrestanordnung ist aufzuheben, wenn nach ihrem Erlass Umstände bekannt werden, welche die Arrestanordnung nicht mehr gerechtfertigt erscheinen lassen.</w:t>
      </w:r>
    </w:p>
    <w:p>
      <w:r>
        <w:t xml:space="preserve">Fünfter Unterabschnitt</w:t>
      </w:r>
    </w:p>
    <w:p>
      <w:r>
        <w:t xml:space="preserve">Befriedigung durch Verwertung</w:t>
      </w:r>
    </w:p>
    <w:p>
      <w:r>
        <w:t xml:space="preserve">von Sicherheiten</w:t>
      </w:r>
    </w:p>
    <w:p>
      <w:r>
        <w:rPr>
          <w:color w:val="555555"/>
          <w:sz w:val="17"/>
        </w:rPr>
        <w:t xml:space="preserve">Zitiervorschlag: § 53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https://recht.nulegal.eu/gesetze/NW_28287/53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