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NW_28287 (Nordrhein-Westfalen) — Zwangsvollstreckung gegenRechtsnachfolger</w:t>
      </w:r>
    </w:p>
    <w:p>
      <w:r>
        <w:rPr>
          <w:color w:val="555555"/>
          <w:sz w:val="18"/>
        </w:rPr>
        <w:t xml:space="preserve">Verwaltungsvollstreckungsgesetz für das Land Nordrhein-Westfalen (Verwaltungsvollstreckungsgesetz NRW - VwVG NRW),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Ist eine Sicherungshypothek im Zwangsverfahren eingetragen, so ist bei Veräußerung des belasteten Grundstücks die Zwangsvollstreckung in das Grundstück gegen den Rechtsnachfolger zulässig. § 10 gilt entsprechend.</w:t>
      </w:r>
    </w:p>
    <w:p>
      <w:r>
        <w:t xml:space="preserve">Vierter Unterabschnitt</w:t>
      </w:r>
    </w:p>
    <w:p>
      <w:r>
        <w:t xml:space="preserve">Sicherungsverfahren</w:t>
      </w:r>
    </w:p>
    <w:p>
      <w:r>
        <w:rPr>
          <w:color w:val="555555"/>
          <w:sz w:val="17"/>
        </w:rPr>
        <w:t xml:space="preserve">Zitiervorschlag: § 52 NW_28287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https://recht.nulegal.eu/gesetze/NW_28287/52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