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51 NW_28287 (Nordrhein-Westfalen) — Verfahren</w:t>
      </w:r>
    </w:p>
    <w:p>
      <w:r>
        <w:rPr>
          <w:color w:val="555555"/>
          <w:sz w:val="18"/>
        </w:rPr>
        <w:t xml:space="preserve">Verwaltungsvollstreckungsgesetz für das Land Nordrhein-Westfalen (Verwaltungsvollstreckungsgesetz NRW - VwVG NRW),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Zwangsvollstreckung in das unbewegliche Vermögen erfolgt nach den Vorschriften für gerichtliche Zwangsvollstreckungen. Die Anträge des Gläubigers stellt die für die Beitreibung der Forderung zuständige Vollstreckungsbehörde; sie kann die entsprechende Behörde am Sitz des Gerichts oder Grundbuchamts darum ersuchen. Soweit der zu vollstreckende Anspruch gemäß § 10 Absatz 1 Nummer 3 des Gesetzes über die Zwangsversteigerung und Zwangsverwaltung in der im Bundesgesetzblatt Teil III, Gliederungsnummer 310-14, veröffentlichten bereinigten Fassung in der jeweils geltenden Fassung den Rechten am Grundstück im Range vorgeht, kann eine Sicherungshypothek unter der aufschiebenden Bedingung in das Grundbuch eingetragen werden, dass das Vorrecht wegfällt. Für die Eintragung der Sicherungshypothek gilt § 866 Absatz 3 der Zivilprozessordnung entsprechend.</w:t>
      </w:r>
    </w:p>
    <w:p>
      <w:r>
        <w:t xml:space="preserve">(2) Zwangsversteigerung und Zwangsverwaltung soll die Vollstreckungsbehörde nur beantragen, wenn festgestellt ist, dass der Geldbetrag durch Vollstreckung in das bewegliche Vermögen nicht beigetrieben werden kann.</w:t>
      </w:r>
    </w:p>
    <w:p>
      <w:r>
        <w:t xml:space="preserve">(3) Die Vollstreckbarkeit der Forderung unterliegt nicht der Beurteilung des Gerichts oder Grundbuchamts.</w:t>
      </w:r>
    </w:p>
    <w:p>
      <w:r>
        <w:t xml:space="preserve">(4) Die besonderen Rechte der bestehenden Kreditverbände bei der Zwangsversteigerung oder Zwangsverwaltung der zu ihnen gehörigen oder von ihnen beliehenen Güter bleiben unberührt.</w:t>
      </w:r>
    </w:p>
    <w:p>
      <w:r>
        <w:rPr>
          <w:color w:val="555555"/>
          <w:sz w:val="17"/>
        </w:rPr>
        <w:t xml:space="preserve">Zitiervorschlag: § 51 NW_28287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https://recht.nulegal.eu/gesetze/NW_28287/51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