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 NW_28287 (Nordrhein-Westfalen) — Mehrfache Pfändung</w:t>
      </w:r>
    </w:p>
    <w:p>
      <w:r>
        <w:rPr>
          <w:color w:val="555555"/>
          <w:sz w:val="18"/>
        </w:rPr>
        <w:t xml:space="preserve">Verwaltungsvollstreckungsgesetz für das Land Nordrhein-Westfalen (Verwaltungsvollstreckungsgesetz NRW - VwVG NRW),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Ist eine Forderung auf Anordnung mehrerer Vollstreckungsbehörden oder auf Anordnung einer Vollstreckungsbehörde und eines Gerichts gepfändet, so gelten die §§ 853 bis 856 der Zivilprozessordnung.</w:t>
      </w:r>
    </w:p>
    <w:p>
      <w:r>
        <w:t xml:space="preserve">(2) Fehlt es an einem Amtsgericht, das nach den §§ 853 und 854 der Zivilprozessordnung zuständig wäre, so ist bei der Hinterlegungsstelle des Amtsgerichts zu hinterlegen, in dessen Bezirk die Vollstreckungsbehörde ihren Sitz hat, deren Pfändungsverfügung dem Drittschuldner zuerst zugestellt worden ist.</w:t>
      </w:r>
    </w:p>
    <w:p>
      <w:r>
        <w:rPr>
          <w:color w:val="555555"/>
          <w:sz w:val="17"/>
        </w:rPr>
        <w:t xml:space="preserve">Zitiervorschlag: § 49 NW_28287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https://recht.nulegal.eu/gesetze/NW_28287/49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