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NW_28287 (Nordrhein-Westfalen) — Pfändungsschutz</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Beschränkungen und Verbote, die nach den §§ 850 bis 852 sowie den §§ 899 bis 909 der Zivilprozessordnung und anderen gesetzlichen Bestimmungen für die Pfändung von Forderungen und Ansprüchen bestehen, gelten auch für das Zwangsverfahren. Satz 1 gilt auch dann, wenn die Beschränkungen und Verbote, wie insbesondere die Regelungen in § 850h der Zivilprozessordnung, den Interessen des Vollstreckungsgläubigers dienen. Wird die Vollstreckung nach Satz 1 wegen Zwangsgeldern, Bußgeldern einschließlich der Nebenfolgen, Gebühren und Auslagen, Ordnungsgeldern, Schadensersatzforderungen der öffentlichen Hand wegen vorsätzlicher unerlaubter Handlungen oder wegen Nutzungsentschädigungen wegen Obdachlosigkeit betrieben, so kann die Vollstreckungsbehörde den pfändbaren Teil des Arbeitseinkommens ohne Rücksicht auf die in § 850c der Zivilprozessordnung vorgesehenen Beschränkungen bestimmen. In den Fällen des Satzes 3 ist dem Schuldner jedoch so viel zu belassen, wie er für seinen notwendigen Unterhalt und zur Erfüllung seiner laufenden gesetzlichen Unterhaltspflichten bedarf.</w:t>
      </w:r>
    </w:p>
    <w:p>
      <w:r>
        <w:t xml:space="preserve">(2) Die in Absatz 1 vorgesehenen Befugnisse des Vollstreckungsgerichts nimmt die Vollstreckungsbehörde für ihre eigenen Forderungen wahr. Die Zuständigkeit des Amtsgerichts als Vollstreckungsgericht gemäß § 905 Satz 1 der Zivilprozessordnung bleibt unberührt.</w:t>
      </w:r>
    </w:p>
    <w:p>
      <w:r>
        <w:rPr>
          <w:color w:val="555555"/>
          <w:sz w:val="17"/>
        </w:rPr>
        <w:t xml:space="preserve">Zitiervorschlag: § 48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