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NW_28287 (Nordrhein-Westfalen) — Ansprüche auf Herausgabe oderLeistung von Sachen</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Zwangsvollstreckung in Ansprüche auf Herausgabe oder Leistung von Sachen gelten außer den §§ 40 bis 46 folgende Vorschriften.</w:t>
      </w:r>
    </w:p>
    <w:p>
      <w:r>
        <w:t xml:space="preserve">(2) Bei der Pfändung eines Anspruches auf eine bewegliche Sache ordnet die Vollstreckungsbehörde an, dass die Sache an den Vollziehungsbeamten herauszugeben sei. Die Sache wird wie eine gepfändete Sache verwertet.</w:t>
      </w:r>
    </w:p>
    <w:p>
      <w:r>
        <w:t xml:space="preserve">(3) Bei Pfändung eines Anspruchs, der eine unbewegliche Sache betrifft, ordnet die Vollstreckungsbehörde an, dass die Sache an einen Treuhänder herauszugeben sei, den das Amtsgericht der belegenen Sache auf ihren Antrag bestellt. Ist der Anspruch auf Übertragung des Eigentums an einer unbeweglichen Sache gerichtet, so ist dem Treuhänder als Vertreter des Schuldners aufzulassen. Mit dem Übergang des Eigentums auf den Schuldner erlangt der Vollstreckungsgläubiger eine Sicherungshypothek für seine Forderung. Der Treuhänder hat die Eintragung der Sicherungshypothek zu bewilligen. Die Zwangsvollstreckung in die herauszugebende Sache geschieht nach den Vorschriften über die Zwangsvollstreckung in unbewegliche Sachen.</w:t>
      </w:r>
    </w:p>
    <w:p>
      <w:r>
        <w:rPr>
          <w:color w:val="555555"/>
          <w:sz w:val="17"/>
        </w:rPr>
        <w:t xml:space="preserve">Zitiervorschlag: § 47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