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NW_28287 (Nordrhein-Westfalen) — Pfändung einer Hypothekenforderung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Pfändung einer Forderung, für die eine Hypothek besteht, ist außer dem Pfändungsbeschluss die Aushändigung des Hypothekenbriefes an die Vollstreckungsbehörde erforderlich. Wird die Übergabe im Zwangsverfahren erwirkt, so gilt sie als erfolgt, wenn der Vollziehungsbeamte den Brief zur Ablieferung an die Vollstreckungsbehörde wegnimmt. Ist die Erteilung des Hypothekenbriefes ausgeschlossen, so muss die Pfändung in das Grundbuch eingetragen werden; die Eintragung erfolgt auf Grund des Pfändungsbeschlusses auf Ersuchen der Vollstreckungsbehörde.</w:t>
      </w:r>
    </w:p>
    <w:p>
      <w:r>
        <w:t xml:space="preserve">(2) Wird der Pfändungsbeschluss vor der Übergabe des Hypothekenbriefes oder der Eintragung der Pfändung dem Drittschuldner zugestellt, so gilt die Pfändung diesem gegenüber mit der Zustellung als bewirkt.</w:t>
      </w:r>
    </w:p>
    <w:p>
      <w:r>
        <w:t xml:space="preserve">(3) Diese Vorschriften gelten nicht, soweit Ansprüche auf die in dem § 1159 des Bürgerlichen Gesetzbuches bezeichneten Leistungen gepfändet werden. Das Gleiche gilt bei einer Sicherungshypothek im Fall des § 1187 des Bürgerlichen Gesetzbuches von der Pfändung der Hauptforderung.</w:t>
      </w:r>
    </w:p>
    <w:p>
      <w:r>
        <w:rPr>
          <w:color w:val="555555"/>
          <w:sz w:val="17"/>
        </w:rPr>
        <w:t xml:space="preserve">Zitiervorschlag: § 41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