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NW_28287 (Nordrhein-Westfalen) — Mehrfache Pfändung</w:t>
      </w:r>
    </w:p>
    <w:p>
      <w:r>
        <w:rPr>
          <w:color w:val="555555"/>
          <w:sz w:val="18"/>
        </w:rPr>
        <w:t xml:space="preserve">Verwaltungsvollstreckungsgesetz für das Land Nordrhein-Westfalen (Verwaltungsvollstreckungsgesetz NRW - VwVG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Wenn dieselbe Sache im Auftrage verschiedener Vollstreckungsbehörden oder im Auftrage einer Vollstreckungsbehörde und durch Vollstreckungsbeamte der Justizverwaltung mehrfach gepfändet ist, so begründet ausschließlich die erste Pfändung die Zuständigkeit zur Versteigerung.</w:t>
      </w:r>
    </w:p>
    <w:p>
      <w:r>
        <w:t xml:space="preserve">(2) Versteigert wird für alle beteiligten Gläubiger auf Betreiben eines jeden von ihnen.</w:t>
      </w:r>
    </w:p>
    <w:p>
      <w:r>
        <w:t xml:space="preserve">(3) Der Erlös wird nach der Reihenfolge der Pfändungen oder bei abweichender Vereinbarung der Beteiligten nach ihrer Vereinbarung verteilt.</w:t>
      </w:r>
    </w:p>
    <w:p>
      <w:r>
        <w:t xml:space="preserve">(4) Reicht der Erlös zur Deckung der Forderungen nicht aus und verlangt der Gläubiger, für den die zweite oder eine spätere Pfändung erfolgt ist, ohne Zustimmung der übrigen beteiligten Gläubiger eine andere Verteilung als nach der Reihenfolge der Pfändungen, so ist die Sachlage unter Hinterlegung des Erlöses dem Amtsgericht, in dessen Bezirk gepfändet ist, anzuzeigen. Der Anzeige sind die Schriftstücke, die sich auf das Verfahren beziehen, beizufügen. Verteilt wird nach den §§ 873 bis 882 der Zivilprozessordnung.</w:t>
      </w:r>
    </w:p>
    <w:p>
      <w:r>
        <w:t xml:space="preserve">(5) Ebenso ist zu verfahren, wenn für mehrere Gläubiger gleichzeitig gepfändet ist.</w:t>
      </w:r>
    </w:p>
    <w:p>
      <w:r>
        <w:t xml:space="preserve">3. Zwangsvollstreckung in Forderungen und</w:t>
      </w:r>
    </w:p>
    <w:p>
      <w:r>
        <w:t xml:space="preserve">andere Vermögensrechte</w:t>
      </w:r>
    </w:p>
    <w:p>
      <w:r>
        <w:rPr>
          <w:color w:val="555555"/>
          <w:sz w:val="17"/>
        </w:rPr>
        <w:t xml:space="preserve">Zitiervorschlag: § 39 NW_28287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https://recht.nulegal.eu/gesetze/NW_28287/39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