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NW_28287 (Nordrhein-Westfalen) — Namenspapiere</w:t>
      </w:r>
    </w:p>
    <w:p>
      <w:r>
        <w:rPr>
          <w:color w:val="555555"/>
          <w:sz w:val="18"/>
        </w:rPr>
        <w:t xml:space="preserve">Verwaltungsvollstreckungsgesetz für das Land Nordrhein-Westfalen (Verwaltungsvollstreckungsgesetz NRW - VwVG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Lautet ein gepfändetes Wertpapier auf Namen, so ist die Vollstreckungsbehörde berechtigt, die Umschreibung auf den Namen des Käufers oder, wenn es sich um ein auf Namen umgeschriebenes Inhaberpapier handelt, die Rückverwandlung in ein Inhaberpapier zu erwirken und die hierzu erforderlichen Erklärungen an Stelle des Schuldners abzugeben.</w:t>
      </w:r>
    </w:p>
    <w:p>
      <w:r>
        <w:rPr>
          <w:color w:val="555555"/>
          <w:sz w:val="17"/>
        </w:rPr>
        <w:t xml:space="preserve">Zitiervorschlag: § 36 NW_28287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https://recht.nulegal.eu/gesetze/NW_28287/36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