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NW_28287 (Nordrhein-Westfalen) — Pfändung ungetrennter Früchte</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Früchte, die vom Boden noch nicht getrennt sind, können gepfändet werden, solange sie nicht durch Zwangsvollstreckung in das unbewegliche Vermögen in Beschlag genommen worden sind. Sie dürfen nicht früher als einen Monat vor der gewöhnlichen Zeit der Reife gepfändet werden.</w:t>
      </w:r>
    </w:p>
    <w:p>
      <w:r>
        <w:t xml:space="preserve">(2) Ein Gläubiger, der ein Recht auf Befriedigung aus dem Grundstück hat, kann der Pfändung nach § 8 widersprechen, wenn nicht für einen Anspruch gepfändet ist, der bei der Zwangsvollstreckung in das Grundstück vorgeht.</w:t>
      </w:r>
    </w:p>
    <w:p>
      <w:r>
        <w:rPr>
          <w:color w:val="555555"/>
          <w:sz w:val="17"/>
        </w:rPr>
        <w:t xml:space="preserve">Zitiervorschlag: § 29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