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NW_28287 (Nordrhein-Westfalen) — Verfahren bei der Pfändung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Sachen, die im Gewahrsam des Schuldners sind, pfändet der Vollziehungsbeamte dadurch, dass er sie in Besitz nimmt.</w:t>
      </w:r>
    </w:p>
    <w:p>
      <w:r>
        <w:t xml:space="preserve">(2) Andere Sachen als Geld, Kostbarkeiten und Wertpapiere sind im Gewahrsam des Schuldners zu lassen, wenn die Befriedigung des Gläubigers hierdurch nicht gefährdet wird. Bleiben die Sachen im Gewahrsam des Schuldners, so ist die Pfändung nur wirksam, wenn sie durch Anlegung von Siegeln oder in sonstiger Weise ersichtlich gemacht ist.</w:t>
      </w:r>
    </w:p>
    <w:p>
      <w:r>
        <w:t xml:space="preserve">(3) Der Vollziehungsbeamte hat dem Schuldner die Pfändung mitzuteilen.</w:t>
      </w:r>
    </w:p>
    <w:p>
      <w:r>
        <w:t xml:space="preserve">(4) Diese Vorschriften gelten auch für die Pfändung von Sachen im Gewahrsam eines Dritten, der zu ihrer Herausgabe bereit ist.</w:t>
      </w:r>
    </w:p>
    <w:p>
      <w:r>
        <w:rPr>
          <w:color w:val="555555"/>
          <w:sz w:val="17"/>
        </w:rPr>
        <w:t xml:space="preserve">Zitiervorschlag: § 28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