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NW_28287 (Nordrhein-Westfalen) — Klage auf bevorzugte Befriedigung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Pfändung einer Sache kann ein Dritter, der sich nicht im Besitze der Sache befindet, auf Grund eines Pfand- oder Vorzugsrechts nicht widersprechen. Er kann jedoch bevorzugte Befriedigung aus dem Erlös verlangen ohne Rücksicht darauf, ob seine Forderung fällig ist oder nicht.</w:t>
      </w:r>
    </w:p>
    <w:p>
      <w:r>
        <w:t xml:space="preserve">(2) Eine Klage ist ausschließlich bei dem Amts- oder Landgericht zu erheben, in dessen Bezirk gepfändet ist. Wird die Klage gegen den Gläubiger und den Schuldner gerichtet, so sind diese Streitgenossen.</w:t>
      </w:r>
    </w:p>
    <w:p>
      <w:r>
        <w:rPr>
          <w:color w:val="555555"/>
          <w:sz w:val="17"/>
        </w:rPr>
        <w:t xml:space="preserve">Zitiervorschlag: § 24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