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NW_28287 (Nordrhein-Westfalen) — Pfändungspfandrecht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Durch die Pfändung erwirbt der Vollstreckungsgläubiger ein Pfandrecht am gepfändeten Gegenstand.</w:t>
      </w:r>
    </w:p>
    <w:p>
      <w:r>
        <w:t xml:space="preserve">(2) Das Pfandrecht gewährt ihm im Verhältnis zu anderen Gläubigern dieselben Rechte wie ein Pfandrecht im Sinne des Bürgerlichen Gesetzbuches; es geht Pfand- und Vorzugsrechten vor, die im Insolvenzverfahren diesem Pfandrecht nicht gleichgestellt sind.</w:t>
      </w:r>
    </w:p>
    <w:p>
      <w:r>
        <w:t xml:space="preserve">(3) Das durch eine frühere Pfändung begründete Pfandrecht geht demjenigen vor, das durch eine spätere Pfändung begründet wird.</w:t>
      </w:r>
    </w:p>
    <w:p>
      <w:r>
        <w:rPr>
          <w:color w:val="555555"/>
          <w:sz w:val="17"/>
        </w:rPr>
        <w:t xml:space="preserve">Zitiervorschlag: § 22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