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NW_28287 (Nordrhein-Westfalen) — Pfändung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Zwangsvollstreckung in das bewegliche Vermögen erfolgt durch Pfändung. Sie darf nicht weiter ausgedehnt werden, als zur Deckung der beizutreibenden Geldbeträge und der Kosten der Zwangsvollstreckung erforderlich ist. Die Pfändung hat zu unterbleiben, wenn sich von der Verwertung der zu pfändenden Gegenstände ein Überschuss über die Kosten der Zwangsvollstreckung nicht erwarten lässt.</w:t>
      </w:r>
    </w:p>
    <w:p>
      <w:r>
        <w:t xml:space="preserve">(2) Der Vollziehungsbeamte soll in jeder Lage des Verfahrens auf eine gütliche und zügige Erledigung hinwirken. Findet er pfändbare Gegenstände nicht vor, versichert der Vollstreckungsschuldner aber glaubhaft, die Schuld kurzfristig in Teilbeträgen zu tilgen, so zieht der Vollziehungsbeamte die Teilbeträge ein, wenn der Gläubiger hiermit einverstanden ist. Die Tilgung soll in der Regel innerhalb von zwölf Monaten erfolgen.</w:t>
      </w:r>
    </w:p>
    <w:p>
      <w:r>
        <w:rPr>
          <w:color w:val="555555"/>
          <w:sz w:val="17"/>
        </w:rPr>
        <w:t xml:space="preserve">Zitiervorschlag: § 21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