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NW_28287 (Nordrhein-Westfalen) — Kosten</w:t>
      </w:r>
    </w:p>
    <w:p>
      <w:r>
        <w:rPr>
          <w:color w:val="555555"/>
          <w:sz w:val="18"/>
        </w:rPr>
        <w:t xml:space="preserve">Verwaltungsvollstreckungsgesetz für das Land Nordrhein-Westfalen (Verwaltungsvollstreckungsgesetz NRW - VwVG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Kosten der Mahnung und der Zwangsvollstreckung fallen dem Schuldner zur Last; sie sind mit dem Anspruch beizutreiben.</w:t>
      </w:r>
    </w:p>
    <w:p>
      <w:r>
        <w:t xml:space="preserve">(2) Wird die Vollstreckungsbehörde für einen Gläubiger tätig, der selbst keine Vollstreckungen durchführt, so hat dieser der Vollstreckungsbehörde Ersatz der Kosten zu leisten, die beim Schuldner nicht beigetrieben werden können.</w:t>
      </w:r>
    </w:p>
    <w:p>
      <w:r>
        <w:t xml:space="preserve">(3) Im Falle der Amtshilfe auf Ersuchen einer Vollstreckungsbehörde mit Sitz außerhalb des Landes gilt für die ersuchende Behörde das Gleiche, sofern in dem betreffenden Land eine von § 8 des Verwaltungsverfahrensgesetzes abweichende und für die nordrhein-westfälische Behörde nachteilige Kostenregelung gilt und die Kosten 25 Euro übersteigen.</w:t>
      </w:r>
    </w:p>
    <w:p>
      <w:r>
        <w:t xml:space="preserve">(4) Absatz 1 gilt entsprechend für den Kostenbeitrag nach § 2 Absatz 2.</w:t>
      </w:r>
    </w:p>
    <w:p>
      <w:r>
        <w:t xml:space="preserve">Zweiter Unterabschnitt</w:t>
      </w:r>
    </w:p>
    <w:p>
      <w:r>
        <w:t xml:space="preserve">Zwangsvollstreckung in das</w:t>
      </w:r>
    </w:p>
    <w:p>
      <w:r>
        <w:t xml:space="preserve">bewegliche Vermögen</w:t>
      </w:r>
    </w:p>
    <w:p>
      <w:r>
        <w:t xml:space="preserve">1. Allgemeine Vorschriften</w:t>
      </w:r>
    </w:p>
    <w:p>
      <w:r>
        <w:rPr>
          <w:color w:val="555555"/>
          <w:sz w:val="17"/>
        </w:rPr>
        <w:t xml:space="preserve">Zitiervorschlag: § 20 NW_28287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https://recht.nulegal.eu/gesetze/NW_28287/20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