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NW_28287 (Nordrhein-Westfalen) — Vollstreckungsbehörden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Beitreibung von Geldforderungen der in § 1 genannten Art ist Aufgabe der Vollstreckungsbehörden. Vollstreckungsbehörden sind:</w:t>
      </w:r>
    </w:p>
    <w:p>
      <w:r>
        <w:t xml:space="preserve">1. beim Land die staatlichen Kassen, die Vollstreckungsbehörden der Finanzverwaltung sowie die vom für Finanzen zuständigen Ministerium und vom für Inneres zuständigen Ministerium im Einvernehmen mit dem zuständigen Fachministerium bestimmten Landesbehörden und</w:t>
      </w:r>
    </w:p>
    <w:p>
      <w:r>
        <w:t xml:space="preserve">2. bei den Gemeinden, Kreisen und Landschaftsverbänden, die jeweils für das Mahn- und Vollstreckungsverfahren bestimmte zentrale Stelle.</w:t>
      </w:r>
    </w:p>
    <w:p>
      <w:r>
        <w:t xml:space="preserve">(2) Körperschaften, Anstalten und Stiftungen des öffentlichen Rechts nehmen die Aufgaben der Vollstreckungsbehörden wahr, soweit gesetzliche Vorschriften dies vorsehen. Andernfalls bestimmt das für Inneres zuständige Ministerium durch Rechtsverordnung die Vollstreckungsbehörden für einzelne Körperschaften, Anstalten und Stiftungen des öffentlichen Rechts sowie für sonstige Stellen oder Personen, denen durch Gesetz hoheitliche Aufgaben übertragen sind, und den Kostenbeitrag, den diese Gläubiger an die in Anspruch genommene Vollstreckungsbehörde je Vollstreckungsersuchen zu zahlen haben. Soweit einzelne Regelungen Haushaltsinteressen des Landes berühren, ist das Einvernehmen des für Finanzen zuständigen Ministeriums erforderlich. Gesetzliche Vorschriften, welche die unmittelbare Inanspruchnahme bestimmter Vollstreckungsbehörden vorsehen, bleiben unberührt. Auch in diesen Fällen bestimmt das für Inneres zuständige Ministerium durch Rechtsverordnung den an diese zu zahlenden Kostenbeitrag. Sofern keine Vollstreckungsbehörde bestimmt ist, kann die Bezirksregierung dies für den Einzelfall entscheiden. Hinsichtlich des Kostenbeitrages gilt die in Satz 5 genannte Rechtsverordnung.</w:t>
      </w:r>
    </w:p>
    <w:p>
      <w:r>
        <w:t xml:space="preserve">(3) Die Vollstreckungsbehörden können auch diejenigen Befugnisse wahrnehmen, die nach den Vorschriften dieses Gesetzes dem Vollstreckungsgläubiger zustehen.</w:t>
      </w:r>
    </w:p>
    <w:p>
      <w:r>
        <w:rPr>
          <w:color w:val="555555"/>
          <w:sz w:val="17"/>
        </w:rPr>
        <w:t xml:space="preserve">Zitiervorschlag: § 2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