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NW_28287 (Nordrhein-Westfalen) — Mahnung</w:t>
      </w:r>
    </w:p>
    <w:p>
      <w:r>
        <w:rPr>
          <w:color w:val="555555"/>
          <w:sz w:val="18"/>
        </w:rPr>
        <w:t xml:space="preserve">Verwaltungsvollstreckungsgesetz für das Land Nordrhein-Westfalen (Verwaltungsvollstreckungsgesetz NRW - VwVG NRW),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Schuldner ist in der Regel vor der Vollstreckung mit Zahlungsfrist von einer Woche zu mahnen. Die Mahnung muss die Vollstreckungsbehörde bezeichnen. Die oberste Aufsichtsbehörde kann zulassen, dass statt der Mahnung allgemein öffentlich an die Zahlung erinnert wird. Einer Mahnung bedarf es nicht, wenn der Vollstreckungsschuldner in einem Zeitraum von zwei Wochen vor Eintritt der Fälligkeit an die Zahlung erinnert wird.</w:t>
      </w:r>
    </w:p>
    <w:p>
      <w:r>
        <w:t xml:space="preserve">(2) Dem Schuldner ist spätestens mit dem Vorzeigen des Auftrags durch den Vollziehungsbeamten nach § 12 Satz 1 eine Aufstellung zu übergeben, aus der sich die Höhe, der Grund und die Fälligkeit der einzelnen Forderungen ergeben, sofern sich diese nicht bereits aus der Mahnung oder der Erinnerung nach Absatz 1 Satz 4 ergeben.</w:t>
      </w:r>
    </w:p>
    <w:p>
      <w:r>
        <w:rPr>
          <w:color w:val="555555"/>
          <w:sz w:val="17"/>
        </w:rPr>
        <w:t xml:space="preserve">Zitiervorschlag: § 19 NW_28287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https://recht.nulegal.eu/gesetze/NW_28287/19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