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NW_28287 (Nordrhein-Westfalen) — Nachtzeit, Feiertage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Nachtzeit sowie an Sonntagen und gesetzlichen Feiertagen darf eine Vollstreckungshandlung nur mit schriftlicher oder elektronischer Erlaubnis der Vollstreckungsbehörde vorgenommen werden. Die Erlaubnis ist bei der Zwangsvollstreckung vorzuzeigen. Satz 1 gilt nicht für die Vollstreckung in Geschäftsräumen von Unternehmern und Unternehmen im Sinne des § 2 Absatz 1 des Umsatzsteuergesetzes in der Fassung der Bekanntmachung vom 21. Februar 2005 (BGBl. I S. 386) in der jeweils geltenden Fassung, die ihre geschäftlichen Tätigkeiten während der Nachtzeit oder an Sonntagen und gesetzlichen Feiertagen ausüben.</w:t>
      </w:r>
    </w:p>
    <w:p>
      <w:r>
        <w:t xml:space="preserve">(2) Die Nachtzeit umfasst die Stunden von einundzwanzig bis sechs Uhr.</w:t>
      </w:r>
    </w:p>
    <w:p>
      <w:r>
        <w:rPr>
          <w:color w:val="555555"/>
          <w:sz w:val="17"/>
        </w:rPr>
        <w:t xml:space="preserve">Zitiervorschlag: § 16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