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NW_28287 (Nordrhein-Westfalen) — Vollstreckbare Geldforderungen</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Geldforderungen des Landes, der Gemeinden und Gemeindeverbände, der sonstigen unter Landesaufsicht stehenden Körperschaften sowie Anstalten und Stiftungen des öffentlichen Rechts, die öffentlich-rechtlicher Natur sind oder deren Beitreibung nach Absatz 2 zugelassen ist, werden nach den Bestimmungen dieses Gesetzes im Verwaltungswege vollstreckt. Satz 1 gilt entsprechend für die Beitreibung von Forderungen öffentlich-rechtlicher Natur solcher Stellen und Personen, denen durch Gesetz hoheitliche Aufgaben übertragen sind.</w:t>
      </w:r>
    </w:p>
    <w:p>
      <w:r>
        <w:t xml:space="preserve">(2) Das für Inneres zuständige Ministerium kann im Einvernehmen mit dem für Finanzen zuständigen Ministerium durch Rechtsverordnung die Beitreibung wegen Geldforderungen des bürgerlichen Rechts des Landes, der kommunalen Gebietskörperschaften und der sonstigen juristischen Personen des öffentlichen Rechts, die der Aufsicht des Landes unterstehen, nach diesem Gesetz für zulässig erklären. Die Forderungen müssen entstanden sein aus</w:t>
      </w:r>
    </w:p>
    <w:p>
      <w:r>
        <w:t xml:space="preserve">1. der Inanspruchnahme öffentlicher Einrichtungen,</w:t>
      </w:r>
    </w:p>
    <w:p>
      <w:r>
        <w:t xml:space="preserve">2. der Nutzung öffentlichen Vermögens oder dem Erwerb von Früchten des öffentlichen Vermögens</w:t>
      </w:r>
    </w:p>
    <w:p>
      <w:r>
        <w:t xml:space="preserve">oder</w:t>
      </w:r>
    </w:p>
    <w:p>
      <w:r>
        <w:t xml:space="preserve">3. der Aufwendung öffentlicher Mittel für öffentlich geförderte, insbesondere soziale Zwecke.</w:t>
      </w:r>
    </w:p>
    <w:p>
      <w:r>
        <w:t xml:space="preserve">Die Sätze 1 und 2 gelten nicht für öffentlich-rechtliche Versicherungsunternehmen, die am Wettbewerb teilnehmen, und für öffentlich-rechtliche Bank- und Kreditinstitute einschließlich der Sparkassen, es sei denn, sie werden im Auftrag des Landes einer Gemeinde oder eines Gemeindeverbandes tätig und nehmen mit der zu erbringenden Leistung nicht am Wettbewerb teil.</w:t>
      </w:r>
    </w:p>
    <w:p>
      <w:r>
        <w:t xml:space="preserve">(3) Die Beitreibung nach Absatz 2 ist nur zulässig, wenn die Forderungen gesetzlich feststehen oder in Verträgen nach Grund und Höhe vereinbart oder auf Erstattung verauslagter Beträge gerichtet sind. Die Zahlungsaufforderung tritt dabei an die Stelle des Leistungsbescheides.</w:t>
      </w:r>
    </w:p>
    <w:p>
      <w:r>
        <w:t xml:space="preserve">(4) Die Beitreibung nach Absatz 2 ist einzustellen, sobald der Vollstreckungsschuldner bei der Vollstreckungsbehörde schriftlich oder zu Protokoll Einwendungen gegen die Forderung geltend macht. Der Vollstreckungsschuldner ist über dieses Recht zu belehren. Im Fall des § 5 muss diese Belehrung eine Woche vor Beginn der Ermittlungen erfolgen. Bereits getroffene Vollstreckungsmaßnahmen sind unverzüglich aufzuheben, wenn der Gläubiger nicht binnen eines Monats nach Geltendmachung der Einwendungen wegen seiner Ansprüche vor den ordentlichen Gerichten Klage erhoben oder den Erlass eines Mahnbescheides beantragt hat oder der Gläubiger mit der Klage rechtskräftig abgewiesen worden ist. Ist die Beitreibung eingestellt worden, so kann die Vollstreckung nur nach Maßgabe der Zivilprozessordnung in der Fassung der Bekanntmachung vom 5. Dezember 2005 (BGBl. I S. 3202; 2006 I S. 431; 2007 I S. 1781) in der jeweils geltenden Fassung fortgesetzt werden.</w:t>
      </w:r>
    </w:p>
    <w:p>
      <w:r>
        <w:t xml:space="preserve">(5) Sind die Länder durch Bundesgesetz ermächtigt zu bestimmen, dass die landesrechtlichen Vorschriften über das Verwaltungszwangsverfahren anzuwenden sind, so findet die Vollstreckung nach diesem Gesetz statt.</w:t>
      </w:r>
    </w:p>
    <w:p>
      <w:r>
        <w:t xml:space="preserve">(6) Die Bestimmungen dieses Gesetzes gelten auch für die Vollstreckung aus solchen schriftlichen öffentlich-rechtlichen Verträgen und gesetzlich zugelassenen schriftlichen Erklärungen, in denen der Schuldner sich zu einer Geldleistung verpflichtet und der Vollstreckung im Verwaltungswege unterworfen hat.</w:t>
      </w:r>
    </w:p>
    <w:p>
      <w:r>
        <w:rPr>
          <w:color w:val="555555"/>
          <w:sz w:val="17"/>
        </w:rPr>
        <w:t xml:space="preserve">Zitiervorschlag: § 1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