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NW_28279 (Nordrhein-Westfalen) — Berichtspflicht</w:t>
      </w:r>
    </w:p>
    <w:p>
      <w:r>
        <w:rPr>
          <w:color w:val="555555"/>
          <w:sz w:val="18"/>
        </w:rPr>
        <w:t xml:space="preserve">Hygiene-Verordnung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zuständige Ministerium berichtet der Landesregierung bis zum 31. Dezember 2009 über die Auswirkungen der Verordnung.</w:t>
      </w:r>
    </w:p>
    <w:p>
      <w:r>
        <w:rPr>
          <w:color w:val="555555"/>
          <w:sz w:val="17"/>
        </w:rPr>
        <w:t xml:space="preserve">Zitiervorschlag: § 8 NW_28279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https://recht.nulegal.eu/gesetze/NW_28279/8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