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NW_28279 (Nordrhein-Westfalen) — Überwachung</w:t>
      </w:r>
    </w:p>
    <w:p>
      <w:r>
        <w:rPr>
          <w:color w:val="555555"/>
          <w:sz w:val="18"/>
        </w:rPr>
        <w:t xml:space="preserve">Hygiene-Verordnung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unteren Gesundheitsbehörden überwachen die Einhaltung dieser Verordnung.</w:t>
      </w:r>
    </w:p>
    <w:p>
      <w:r>
        <w:t xml:space="preserve">§ 16 Abs. 2 IfSG gilt entsprechend. Das Grundrecht der Unverletzlichkeit der Wohnung (Artikel 13 Abs. 1 GG) wird insoweit eingeschränkt.</w:t>
      </w:r>
    </w:p>
    <w:p>
      <w:r>
        <w:t xml:space="preserve">(2) Betreiber einer Einrichtung, die eine Tätigkeit nach § 1 ausführen, müssen die Aufnahme und die Beendigung ihrer Tätigkeit bei dem für den Ort der Niederlassung zuständigen Gesundheitsamt anzeigen.</w:t>
      </w:r>
    </w:p>
    <w:p>
      <w:r>
        <w:rPr>
          <w:color w:val="555555"/>
          <w:sz w:val="17"/>
        </w:rPr>
        <w:t xml:space="preserve">Zitiervorschlag: § 6 NW_28279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https://recht.nulegal.eu/gesetze/NW_28279/6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