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NW_28274 (Nordrhein-Westfalen) — Entstehung und Fälligkeit der Gebühren</w:t>
      </w:r>
    </w:p>
    <w:p>
      <w:r>
        <w:rPr>
          <w:color w:val="555555"/>
          <w:sz w:val="18"/>
        </w:rPr>
        <w:t xml:space="preserve">Bestimmungen über die Erhebung der Gebühren nach dem Studienkonten- und -finanzierungsgesetz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Es entsteht die Pflicht zur Entrichtung</w:t>
      </w:r>
    </w:p>
    <w:p>
      <w:r>
        <w:t xml:space="preserve">1. der Gebühr nach § 9 StKFG mit Stellung des Antrags auf Immatrikulation oder mit der Rückmeldung,</w:t>
      </w:r>
    </w:p>
    <w:p>
      <w:r>
        <w:t xml:space="preserve">2. der allgemeinen und besonderen Gasthörergebühr nach § 10 StKFG mit Stellung des Antrags auf Zulassung als Gasthörerin oder Gasthörer,</w:t>
      </w:r>
    </w:p>
    <w:p>
      <w:r>
        <w:t xml:space="preserve">3. der Ausfertigungsgebühren nach § 11 Nr. 1 StKFG mit dem Antrag auf Vornahme der Amtshandlung,</w:t>
      </w:r>
    </w:p>
    <w:p>
      <w:r>
        <w:t xml:space="preserve">4. der Verspätungsgebühren nach § 11 Nr. 2 StKFG mit dem Ablauf der Fristen und Zahlungstermine,</w:t>
      </w:r>
    </w:p>
    <w:p>
      <w:r>
        <w:t xml:space="preserve">5. der Gebühr für eine nachträgliche Änderung des Belegens nach § 11 Nr. 2 StKFG mit dem Antrag auf Änderung der Belegung.</w:t>
      </w:r>
    </w:p>
    <w:p>
      <w:r>
        <w:t xml:space="preserve">(2) Die Gebühren werden mit Entstehung der Gebührenpflicht fällig.</w:t>
      </w:r>
    </w:p>
    <w:p>
      <w:r>
        <w:rPr>
          <w:color w:val="555555"/>
          <w:sz w:val="17"/>
        </w:rPr>
        <w:t xml:space="preserve">Zitiervorschlag: § 3 NW_28274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https://recht.nulegal.eu/gesetze/NW_28274/3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