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NW_28251 (Nordrhein-Westfalen) — Maßnahmenplan</w:t>
      </w:r>
    </w:p>
    <w:p>
      <w:r>
        <w:rPr>
          <w:color w:val="555555"/>
          <w:sz w:val="18"/>
        </w:rPr>
        <w:t xml:space="preserve">Altlastensanierungs- und Altlastenaufbereitungsverbandsgesetz- AAVG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stellt für die im Rahmen seiner Aufgaben anfallenden Maßnahmen im Sinne von § 2 einen Maßnahmenplan auf, der der jeweiligen Entwicklung anzupassen und fortzuschreiben ist.</w:t>
      </w:r>
    </w:p>
    <w:p>
      <w:r>
        <w:t xml:space="preserve">(2) Der Maßnahmenplan sowie seine Anpassung und Fortschreibung sind von der Delegiertenversammlung zu beschließen und bedürfen der Genehmigung der Aufsichtsbehörde.</w:t>
      </w:r>
    </w:p>
    <w:p>
      <w:r>
        <w:rPr>
          <w:color w:val="555555"/>
          <w:sz w:val="17"/>
        </w:rPr>
        <w:t xml:space="preserve">Zitiervorschlag: § 4 NW_28251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https://recht.nulegal.eu/gesetze/NW_28251/4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