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NW_28251 (Nordrhein-Westfalen) — In-Kraft-Treten</w:t>
      </w:r>
    </w:p>
    <w:p>
      <w:r>
        <w:rPr>
          <w:color w:val="555555"/>
          <w:sz w:val="18"/>
        </w:rPr>
        <w:t xml:space="preserve">Altlastensanierungs- und Altlastenaufbereitungsverbandsgesetz- AAVG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mit Wirkung vom 11. Dezember 2002 in Kraft.</w:t>
      </w:r>
    </w:p>
    <w:p>
      <w:r>
        <w:t xml:space="preserve">Zusatz</w:t>
      </w:r>
    </w:p>
    <w:p>
      <w:r>
        <w:t xml:space="preserve">Rechtsnachfolge</w:t>
      </w:r>
    </w:p>
    <w:p>
      <w:r>
        <w:t xml:space="preserve">(Artikel I des Gesetzes über den Verband zur Sanierung und Aufbereitung von Altlasten Nordrhein Westfalen und zur Änderung des Landesabfallgesetzes (GV. NRW. S.571))</w:t>
      </w:r>
    </w:p>
    <w:p>
      <w:r>
        <w:t xml:space="preserve">Gesamtrechtsnachfolger des durch § 1 des Gesetzes über die Gründung des Abfallentsorgungs- und Altlastensanierungsverbandes Nordrhein-Westfalen (Abfallentsorgungs- und Altlastensanierungsverbandsgesetz- AAVG) vom 21. Juni 1988 (GV. NRW. S. 268, ber. S. 355), zuletzt geändert durch Gesetz vom 25. September 2001 (GV. NRW. S. 708) gegründeten Verbandes ist der Altlastensanierungs- und Altlastenaufbereitungsverband, der mit Artikel III dieses Gesetzes gegründet wird. Das gesamte Vermögen des Abfallentsorgungs- und Altlastensanierungsverbandes Nordrhein-Westfalen geht ohne Abwicklung auf den neu gegründeten Verband über. Der Abfallentsorgungs- und Altlastensanierungsverband Nordrhein-Westfalen wird aufgelöst.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Finanzminister</w:t>
      </w:r>
    </w:p>
    <w:p>
      <w:r>
        <w:t xml:space="preserve">Der Innenminister</w:t>
      </w:r>
    </w:p>
    <w:p>
      <w:r>
        <w:t xml:space="preserve">Der Justizminister</w:t>
      </w:r>
    </w:p>
    <w:p>
      <w:r>
        <w:t xml:space="preserve">Der Minister</w:t>
      </w:r>
    </w:p>
    <w:p>
      <w:r>
        <w:t xml:space="preserve">für Wirtschaft und Arbeit</w:t>
      </w:r>
    </w:p>
    <w:p>
      <w:r>
        <w:t xml:space="preserve">Die Ministerin</w:t>
      </w:r>
    </w:p>
    <w:p>
      <w:r>
        <w:t xml:space="preserve">für Umwelt und Naturschutz,</w:t>
      </w:r>
    </w:p>
    <w:p>
      <w:r>
        <w:t xml:space="preserve">Landwirtschaft und Verbraucherschutz</w:t>
      </w:r>
    </w:p>
    <w:p>
      <w:r>
        <w:rPr>
          <w:color w:val="555555"/>
          <w:sz w:val="17"/>
        </w:rPr>
        <w:t xml:space="preserve">Zitiervorschlag: § 28 NW_28251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https://recht.nulegal.eu/gesetze/NW_28251/28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