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NW_28251 (Nordrhein-Westfalen) — Auflösung des Verbandes, Übergangsvorschriften</w:t>
      </w:r>
    </w:p>
    <w:p>
      <w:r>
        <w:rPr>
          <w:color w:val="555555"/>
          <w:sz w:val="18"/>
        </w:rPr>
        <w:t xml:space="preserve">Altlastensanierungs- und Altlastenaufbereitungsverbandsgesetz- AAVG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kann nur durch Gesetz aufgelöst werden.</w:t>
      </w:r>
    </w:p>
    <w:p>
      <w:r>
        <w:t xml:space="preserve">(2) Innerhalb von drei Monaten nach Inkrafttreten dieses Gesetzes sind die Verbandsorgane nach den Vorschriften dieses Gesetzes neu zu besetzen.</w:t>
      </w:r>
    </w:p>
    <w:p>
      <w:r>
        <w:t xml:space="preserve">(3) Abweichend von § 20 Absatz 2 Satz 3 sind die Beiträge der Mitglieder nach § 6 Absatz 1 für das Jahr 2012 mit Inkrafttreten des Gesetzes zu zahlen.</w:t>
      </w:r>
    </w:p>
    <w:p>
      <w:r>
        <w:rPr>
          <w:color w:val="555555"/>
          <w:sz w:val="17"/>
        </w:rPr>
        <w:t xml:space="preserve">Zitiervorschlag: § 27 NW_28251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https://recht.nulegal.eu/gesetze/NW_28251/27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