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NW_28246 (Nordrhein-Westfalen)</w:t>
      </w:r>
    </w:p>
    <w:p>
      <w:r>
        <w:rPr>
          <w:color w:val="555555"/>
          <w:sz w:val="18"/>
        </w:rPr>
        <w:t xml:space="preserve">Verordnung über die Kreispolizeibehörden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einem Wechsel in der Behördenleitung von einer Landrätin zu einem Landrat oder von einem Landrat zu einer Landrätin erhält die Kreispolizeibehörde die jeweils zutreffende Bezeichnung.</w:t>
      </w:r>
    </w:p>
    <w:p>
      <w:r>
        <w:rPr>
          <w:color w:val="555555"/>
          <w:sz w:val="17"/>
        </w:rPr>
        <w:t xml:space="preserve">Zitiervorschlag: § 2 NW_28246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