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NW_28244 (Nordrhein-Westfalen)</w:t>
      </w:r>
    </w:p>
    <w:p>
      <w:r>
        <w:rPr>
          <w:color w:val="555555"/>
          <w:sz w:val="18"/>
        </w:rPr>
        <w:t xml:space="preserve">Satzung der Rheinischen Zusatzversorgungskasse - RZVK -,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Erster Teil</w:t>
      </w:r>
    </w:p>
    <w:p>
      <w:r>
        <w:t xml:space="preserve">Organisatorische Verfassung der Kasse</w:t>
      </w:r>
    </w:p>
    <w:p>
      <w:r>
        <w:rPr>
          <w:color w:val="555555"/>
          <w:sz w:val="17"/>
        </w:rPr>
        <w:t xml:space="preserve">Zitiervorschlag: Volltext NW_28244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https://recht.nulegal.eu/gesetze/NW_28244/volltext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