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NW_28244 (Nordrhein-Westfalen) — Übergangsregelungen zu §§ 15 bis 15d</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1Für die zwischen dem 1. Januar 2002 und dem 13. Juni 2019 ausgeschiedenen Mitglieder gelten die §§ 15 bis 15d in der Fassung der 23. Satzungsänderung vom 13. Juni 2019 (GV. NRW. S. 464) mit folgenden Besonderheiten:</w:t>
      </w:r>
    </w:p>
    <w:p>
      <w:r>
        <w:t xml:space="preserve">a) 1§ 15a Absatz 3 gilt mit der Maßgabe, dass die zum Zeitpunkt der Beendigung der Mitgliedschaft maßgeblichen Berechnungsparameter zu berücksichtigen sind. 2Sämtliche Berechnungsparameter sowie die Berechnungsmethode regeln die als Anhang zu dieser Satzung beschlossenen Durchführungsvorschriften zu den §§ 15a ff., 59a ff., 79 abschließend.</w:t>
      </w:r>
    </w:p>
    <w:p>
      <w:r>
        <w:t xml:space="preserve">b) 1Hat das ausgeschiedene Mitglied den bisherigen Ausgleichsbetrag nicht oder nicht vollständig gezahlt und wählt es nicht das Erstattungsmodell mit Schlusszahlung, hat es den Ausgleichsbetrag gemäß Buchstabe a) abzüglich des Anteils, den es bereits gezahlt hat, zu bezahlen. 2Die Kasse teilt dem ausgeschiedenen Mitglied die Höhe der noch ausstehenden Forderungen schriftlich mit. 3Der Ausgleichsbetrag ist innerhalb von sechs Monaten nach Zugang der schriftlichen Forderungsmitteilung der Kasse vom ausgeschiedenen Mitglied zu begleichen.</w:t>
      </w:r>
    </w:p>
    <w:p>
      <w:r>
        <w:t xml:space="preserve">c) Für das Erstattungsmodell gelten die §§ 15 und 15b mit folgenden Maßgaben:</w:t>
      </w:r>
    </w:p>
    <w:p>
      <w:r>
        <w:t xml:space="preserve">aa) 1Die Frist zur Ausübung des Wahlrechts gemäß § 15 Absatz 2 beginnt am Tag nach Zugang der auf Grundlage dieser Satzungsänderung übermittelten schriftlichen Mitteilung der Kasse über die Höhe des Ausgleichsbetrags sowie der Beträge nach dem Erstattungsmodell mit Schlusszahlung. 2Dieser Mitteilung wird ein versicherungsmathematisches Gutachten entsprechend § 15 Absatz 2 Satz 2 beigefügt.</w:t>
      </w:r>
    </w:p>
    <w:p>
      <w:r>
        <w:t xml:space="preserve">bb) 1Ist der Ausgleichsbetrag bereits teilweise oder vollumfänglich gezahlt worden, wird dieser zuzüglich einer Verzinsung in Höhe der im Abrechnungsverband I seit dem Zeitpunkt der Zahlung des Ausgleichsbetrags erzielten jährlichen Nettoverzinsung der Kasse dem ausgeschiedenen Mitglied unter Verrechnung nach Doppelbuchstabe cc Satz 2 zurückgewährt.</w:t>
      </w:r>
    </w:p>
    <w:p>
      <w:r>
        <w:t xml:space="preserve">cc) 1Der Zeitraum für die Erstattung künftiger Aufwendungen der Kasse gemäß § 15b Absatz 4 beginnt mit dem Monat, der der Entscheidung des Mitglieds für die Wahl des Erstattungsmodells folgt. 2Die in der Zeit vom Ausscheiden bis zum Beginn des Erstattungszeitraums bereits erbrachten Aufwendungen der Kasse (§ 15b Absatz 4) zuzüglich Verwaltungskosten in Höhe von 2 v.H. sind als Einmalbetrag vom ausgeschiedenen Mitglied zu erstatten. 3Der Einmalbetrag ist dabei jährlich um die Höhe der jeweiligen jährlichen Inflationsrate in Deutschland zu erhöhen. 4Dieser nach den Sätzen 2 und 3 ermittelte Einmalbetrag wird mit einem gemäß Doppelbuchstabe bb zurückzuzahlenden und verzinsten Ausgleichsbetrag verrechnet. 5Soweit dies nicht möglich ist, wird der noch verbleibende Einmalbetrag über den gesamten Erstattungszeitraum auf die nach § 15b Absatz 1 zu erbringenden Zahlungen gleichmäßig verteilt. 6Die Kasse teilt dem ausgeschiedenen Mitglied die Höhe der gegebenenfalls noch ausstehenden Forderungen schriftlich mit. 7Diese sind innerhalb eines Monats nach Zugang der Forderungsmitteilungen vom ausgeschiedenen Mitglied zu begleichen. 8Ergibt sich bei der Verrechnung nach Satz 4 für das ausgeschiedene Mitglied ein Guthaben, zahlt die Kasse dieses an das ausgeschiedene Mitglied aus.</w:t>
      </w:r>
    </w:p>
    <w:p>
      <w:r>
        <w:t xml:space="preserve">dd) Für von ausgeschiedenen Mitgliedern gemäß § 15b in der Fassung der 17. Satzungsänderung vom 7. Juni 2013 (GV. NRW. S. 452) bereits gezahlte Amortisations- und Differenzbeträge gilt Doppelbuchstabe bb ohne Verrechnung nach Doppelbuchstabe cc Satz 4 entsprechend.</w:t>
      </w:r>
    </w:p>
    <w:p>
      <w:r>
        <w:t xml:space="preserve">(2) Wurde zwischen dem 1. Januar 2002 und dem 7. Juni 2013 nach</w:t>
      </w:r>
    </w:p>
    <w:p>
      <w:r>
        <w:t xml:space="preserve">§ 12a Absatz 1 bzw. nach § 15 Absatz 3a in der seinerzeit jeweils geltenden Fassung oder zwischen dem 8. Juni 2013 und dem 13. Juni 2019 nach § 12a Absatz 1 in einer Fassung bis einschließlich der 22. Satzungsänderung vom 12. Juni 2018 Personal auf einen Arbeitgeber übertragen, der nicht Mitglied im Abrechnungsverband I ist, oder wurden von diesem Arbeitgeber mit ausgeschiedenen Pflichtversicherten des Mitglieds Arbeitsverhältnisse begründet, gilt Absatz 1 für den in diesen Fällen vom Mitglied zu leistenden anteiligen finanziellen Ausgleich entsprechend.</w:t>
      </w:r>
    </w:p>
    <w:p>
      <w:r>
        <w:t xml:space="preserve">(3) Erfolgte zwischen dem 1. Januar 2002 und dem 13. Juni 2019 ein Wechsel vom Abrechnungsverband I in den Abrechnungsverband II nach § 55 Absatz 1a Satz 2 in einer Fassung bis einschließlich der 22. Satzungsänderung vom 12. Juni 2018 gilt Absatz 1 entsprechend mit der Maßgabe, dass ein finanzieller Ausgleich auch für die im Zeitpunkt des Wechsels noch verfallbaren Anwartschaften zu erbringen ist, sofern es sich nicht um beitragsfreie Versicherungen nach § 21 handelt.</w:t>
      </w:r>
    </w:p>
    <w:p>
      <w:r>
        <w:t xml:space="preserve">(4) Für Vereinbarungen über die Fortsetzung von Mitgliedschaften nach § 12 Absatz 2 zu einem Stichtag, der zwischen dem 1. Januar 2002 und dem 13. Juni 2019 liegt, gilt Absatz 1 entsprechend mit der Maßgabe, dass die Nichtberücksichtigung der am Stichtag noch verfallbaren Anwartschaften nur für den Teil des Abgeltungsbetrages gilt, der auf die am Stichtag vorhandenen noch verfallbaren Anwartschaften der zu diesem Zeitpunkt beitragsfrei Versicherten nach § 21 entfällt.</w:t>
      </w:r>
    </w:p>
    <w:p>
      <w:r>
        <w:t xml:space="preserve">(5) Für die zwischen dem 14. Juni 2019 und dem 31. Dezember 2023 ausgeschiedenen Mitglieder gelten die §§ 15 bis 15d in der Fassung der 23. Satzungsänderung vom 13. Juni 2019 (GV. NRW. S. 464), jedoch mit der Maßgabe, dass die Regelung zur Verzinsung des finanziellen Ausgleichs nach § 15a Absatz 5 Satz 4 nicht angewendet wird und im Hinblick auf die möglichen Sicherungsmittel § 15b Absatz 2 Satz 2 in der Fassung der 24. Satzungsänderung vom 7. Juni 2023 (GV. NRW. S. 452) gilt.</w:t>
      </w:r>
    </w:p>
    <w:p>
      <w:r>
        <w:rPr>
          <w:color w:val="555555"/>
          <w:sz w:val="17"/>
        </w:rPr>
        <w:t xml:space="preserve">Zitiervorschlag: § 79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