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NW_28244 (Nordrhein-Westfalen) — Grundsätze</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1Für die Versicherten werden die Anwartschaften nach dem am 31. Dezember 2000 geltenden Recht der Zusatzversorgung entsprechend den §§ 73 und 74 ermittelt. 2Die Anwartschaften nach Satz 1 werden unter Einschluss des Jahres 2001 ohne Berücksichtigung der Altersfaktoren in Versorgungspunkte umgerechnet, indem der Anwartschaftsbetrag durch den Messbetrag von vier Euro geteilt wird; sie werden dem Versorgungskonto (§ 34 Abs. 1) ebenfalls gutgeschrieben (Startgutschriften). 3Eine Verzinsung findet vorbehaltlich des § 66 nicht statt.</w:t>
      </w:r>
    </w:p>
    <w:p>
      <w:r>
        <w:t xml:space="preserve">(2) 1Für die Berechnung der Anwartschaften sind, soweit jeweils erforderlich, die Rechengrößen (insbesondere Entgelt, Gesamtbeschäftigungsquotient, Steuertabelle, Sozialversicherungsbeiträge, Familienstand, aktueller Rentenwert, Mindestgesamtversorgung) vom 31. Dezember 2001 maßgebend; soweit gesamtversorgungsfähiges Entgelt zu berücksichtigen ist, ergibt sich dieses - ohne Berücksichtigung einer Erhöhung zum 1. Januar 2002 - aus den entsprechenden Kalenderjahren vor diesem Zeitpunkt. 2Für die Rentenberechnung nach § 18 Abs. 2 BetrAVG ist das am 31. Dezember 2001 geltende Rentenrecht maßgebend.</w:t>
      </w:r>
    </w:p>
    <w:p>
      <w:r>
        <w:t xml:space="preserve">(3) 1Beanstandungen gegen die mitgeteilte Startgutschrift sind innerhalb einer Ausschlussfrist von sechs Monaten nach Zugang des Nachweises der Kasse schriftlich unmittelbar gegenüber der Kasse zu erheben. 2Auf die Ausschlussfrist wird in dem Nachweis hingewiesen. 3Nach Ablauf der Ausschlussfrist können keine Ansprüche mehr geltend gemacht werden.</w:t>
      </w:r>
    </w:p>
    <w:p>
      <w:r>
        <w:t xml:space="preserve">(4) 1Soweit die Summe aus der Startgutschrift ohne Berücksichtigung von § 73 Absatz 1 Satz 3 bis 7, dem Zuschlag zur Startgutschrift nach § 73 Absatz 1a sowie dem Betrag, der nach § 73 Absatz 3a als zusätzliche Startgutschrift ermittelt wurde, die Höhe der Anwartschaft nach § 73 Absatz 1 erreicht oder übersteigt, verbleibt es bei der bereits mitgeteilten Startgutschrift. 2Die Kasse teilt den Versicherten im Rahmen des Versicherungsnachweises nach § 51 mit, dass es entweder bei der bisherigen Startgutschrift verbleibt oder sie informiert über die Höhe der neu berechneten Startgutschrift. 3Neben der Information über den Versicherungsnachweis nach Satz 2 bedarf es keiner gesonderten Mitteilung.</w:t>
      </w:r>
    </w:p>
    <w:p>
      <w:r>
        <w:rPr>
          <w:color w:val="555555"/>
          <w:sz w:val="17"/>
        </w:rPr>
        <w:t xml:space="preserve">Zitiervorschlag: § 72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