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NW_28244 (Nordrhein-Westfalen) — Aufgaben der/des Verantwortlichen Aktuarin/Aktuars</w:t>
      </w:r>
    </w:p>
    <w:p>
      <w:r>
        <w:rPr>
          <w:color w:val="555555"/>
          <w:sz w:val="18"/>
        </w:rPr>
        <w:t xml:space="preserve">Satzung der Rheinischen Zusatzversorgungskasse - RZVK -,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1Die/der Verantwortliche Aktuarin/Aktuar hat jährlich die Finanzlage der Kasse daraufhin zu überprüfen, ob die dauernde Erfüllbarkeit der eingegangenen Verpflichtungen der Kasse gewährleistet ist, und hierüber dem Kassenausschuss zu berichten. 2Sie/Er hat unter der Bilanz zu bestätigen, dass die Deckungsrückstellungen für die Pflichtversicherung und die freiwillige Versicherung dem versicherungstechnischen Geschäftsplan der Kasse entsprechen.</w:t>
      </w:r>
    </w:p>
    <w:p>
      <w:r>
        <w:t xml:space="preserve">(2) Sobald sie/er bei der Erfüllung der ihr/ihm obliegenden Aufgaben erkennt, dass die Voraussetzungen für die Bestätigung nach Absatz 1 nicht oder nur eingeschränkt vorliegen, hat sie/er die Geschäftsführerin/den Geschäftsführer der Kasse, und wenn diese/dieser der Beanstandung nicht unverzüglich abhilft, den Kassenausschuss zu unterrichten.</w:t>
      </w:r>
    </w:p>
    <w:p>
      <w:r>
        <w:t xml:space="preserve">(3) Sie/Er hat die Überschüsse auf der Grundlage einer versicherungstechnischen Bilanz, die auf den anerkannten Regeln der Versicherungsmathematik beruht, zu ermitteln und dem Kassenausschuss Vorschläge für die Verwendung von Überschüssen vorzulegen.</w:t>
      </w:r>
    </w:p>
    <w:p>
      <w:r>
        <w:t xml:space="preserve">(4) Die Geschäftsführerin/Der Geschäftsführer der Kasse ist verpflichtet, der/dem Verantwortlichen Aktuarin/Aktuar sämtliche Informationen zugänglich zu machen, die zur ordnungsgemäßen Erledigung ihrer/seiner Aufgaben gemäß Absatz 1 bis 3 erforderlich sind.</w:t>
      </w:r>
    </w:p>
    <w:p>
      <w:r>
        <w:rPr>
          <w:color w:val="555555"/>
          <w:sz w:val="17"/>
        </w:rPr>
        <w:t xml:space="preserve">Zitiervorschlag: § 7 NW_28244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https://recht.nulegal.eu/gesetze/NW_28244/7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