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62 NW_28244 (Nordrhein-Westfalen) — Umlagen/Pflichtbeiträge</w:t>
      </w:r>
    </w:p>
    <w:p>
      <w:r>
        <w:rPr>
          <w:color w:val="555555"/>
          <w:sz w:val="18"/>
        </w:rPr>
        <w:t xml:space="preserve">Satzung der Rheinischen Zusatzversorgungskasse - RZVK -,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1Die Umlage in den Abrechnungsverbänden I und II sowie der Pflichtbeitrag im Abrechnungsverband II werden als Vomhundertsatz des zusatzversorgungspflichtigen Entgelts (Absatz 2) festgelegt. 2Der Umlagesatz im Abrechnungsverband I ist anzupassen, sobald eine der beiden Bedingungen für die Erhebung des pauschalen Sanierungsgeldes gemäß § 63 Absatz 3 nicht mehr erfüllt ist.</w:t>
      </w:r>
    </w:p>
    <w:p>
      <w:r>
        <w:t xml:space="preserve">(2) 1Zusatzversorgungspflichtiges Entgelt ist, soweit nachstehend nichts anderes bestimmt ist, der steuerpflichtige Arbeitslohn. 2Kein zusatzversorgungspflichtiges Entgelt sind</w:t>
      </w:r>
    </w:p>
    <w:p>
      <w:r>
        <w:t xml:space="preserve">a) Bestandteile des Arbeitsentgelts, die auf einer Verweisung auf beamtenrechtliche Vorschriften beruhen, soweit die beamtenrechtlichen Bezüge nicht ruhegehaltfähig sind, sowie Bestandteile des Arbeitsentgelts, die durch Tarifvertrag auf Bundes-, Landes- oder landesbezirklicher Ebene ausdrücklich als nicht zusatzversorgungspflichtig bezeichnet sind sowie über- und außertarifliche Bestandteile des Arbeitsentgelts, soweit sie durch Betriebsvereinbarung, Dienstvereinbarung oder Arbeitsvertrag ausdrücklich als nicht zusatzversorgungspflichtig bezeichnet sind,</w:t>
      </w:r>
    </w:p>
    <w:p>
      <w:r>
        <w:t xml:space="preserve">b) Aufwendungen des Arbeitgebers für eine Zukunftssicherung der Beschäftigten,</w:t>
      </w:r>
    </w:p>
    <w:p>
      <w:r>
        <w:t xml:space="preserve">c) Krankengeldzuschüsse,</w:t>
      </w:r>
    </w:p>
    <w:p>
      <w:r>
        <w:t xml:space="preserve">d) einmalige Zahlungen (z.B. Zuwendungen, Urlaubsabgeltungen), die aus Anlass der Beendigung, des Eintritts des Ruhens oder nach Beendigung des Arbeitsverhältnisses gezahlt werden, mit Ausnahme der Teilzuwendung, die dem Beschäftigten gezahlt wird, der mit Billigung des Mitglieds zu einem anderen Mitglied der Kasse oder einem Mitglied einer anderen Zusatzversorgungseinrichtung im Sinne von § 27 Abs. 1 übergetreten ist,</w:t>
      </w:r>
    </w:p>
    <w:p>
      <w:r>
        <w:t xml:space="preserve">e) einmalige Zahlungen (z.B. Zuwendungen) insoweit, als bei ihrer Berechnung Zeiten berücksichtigt sind, für die keine Umlagen/Beiträge für laufendes zusatzversorgungspflichtiges Entgelt zu entrichten sind,</w:t>
      </w:r>
    </w:p>
    <w:p>
      <w:r>
        <w:t xml:space="preserve">f) vermögenswirksame Leistungen, Jubiläumsgelder,</w:t>
      </w:r>
    </w:p>
    <w:p>
      <w:r>
        <w:t xml:space="preserve">g) Sachbezüge, die während eines Zeitraumes gewährt werden, für den kein laufendes zusatzversorgungspflichtiges Entgelt zusteht,</w:t>
      </w:r>
    </w:p>
    <w:p>
      <w:r>
        <w:t xml:space="preserve">h) geldwerte Vorteile, die steuerlich als Arbeitslohn gelten,</w:t>
      </w:r>
    </w:p>
    <w:p>
      <w:r>
        <w:t xml:space="preserve">i) geldwerte Nebenleistungen, wie Ersatz von Werbungskosten (z.B. Aufwendungen für Werkzeuge, Berufskleidung, Fortbildung) sowie Zuschüsse z.B. zu Fahr-, Heizungs-, Wohnungs-, Essens- Kontoführungskosten,</w:t>
      </w:r>
    </w:p>
    <w:p>
      <w:r>
        <w:t xml:space="preserve">j) Mietbeiträge an Beschäftigte mit Anspruch auf Trennungsgeld (Trennungsentschädigung),</w:t>
      </w:r>
    </w:p>
    <w:p>
      <w:r>
        <w:t xml:space="preserve">k) Schulbeihilfen,</w:t>
      </w:r>
    </w:p>
    <w:p>
      <w:r>
        <w:t xml:space="preserve">l) einmalige Zuwendungen anlässlich des Erwerbs eines Diploms einer Verwaltungs- oder Wirtschaftsakademie,</w:t>
      </w:r>
    </w:p>
    <w:p>
      <w:r>
        <w:t xml:space="preserve">m) Prämien im Rahmen des behördlichen oder betrieblichen Vorschlagwesens,</w:t>
      </w:r>
    </w:p>
    <w:p>
      <w:r>
        <w:t xml:space="preserve">n) Erfindervergütungen,</w:t>
      </w:r>
    </w:p>
    <w:p>
      <w:r>
        <w:t xml:space="preserve">o) Kassenverlustentschädigungen (Mankogelder, Fehlgeldentschädigungen),</w:t>
      </w:r>
    </w:p>
    <w:p>
      <w:r>
        <w:t xml:space="preserve">p) Einkünfte, die aus ärztlichen Liquidationserlösen zufließen,</w:t>
      </w:r>
    </w:p>
    <w:p>
      <w:r>
        <w:t xml:space="preserve">q) einmalige Unfallentschädigungen,</w:t>
      </w:r>
    </w:p>
    <w:p>
      <w:r>
        <w:t xml:space="preserve">r) Aufwandsentschädigungen; reisekostenähnliche Entschädigungen; Entgelte aus Nebentätigkeiten; Tantiemen, Provisionen, Abschlussprämien und entsprechende Leistungen; einmalige und sonstige nicht laufend monatlich gezahlte über- und außertarifliche Leistungen,</w:t>
      </w:r>
    </w:p>
    <w:p>
      <w:r>
        <w:t xml:space="preserve">s) Zuschläge für Sonntags-, Feiertags- und Nachtarbeit,</w:t>
      </w:r>
    </w:p>
    <w:p>
      <w:r>
        <w:t xml:space="preserve">t) Auszahlungen aus Guthaben, das dadurch entstanden ist, dass Bestandteile des Arbeitsentgelts steuerfrei in ein Zeitwertkonto (Wertguthaben im Sinne des SGB IV) eingebracht wurden oder für eine betriebliche Altersversorgung der/des Beschäftigten im Wege der Entgeltumwandlung verwendet werden. Voraussetzung hierfür ist, dass die/der Beschäftigte und der beteiligte Arbeitgeber entsprechend vereinbart haben, dass die Einzahlung zusatzversorgungspflichtiges Entgelt ist.</w:t>
      </w:r>
    </w:p>
    <w:p>
      <w:r>
        <w:t xml:space="preserve">3Kein zusatzversorgungspflichtiges Entgelt ist ferner der Teil des steuerpflichtigen Arbeitsentgelts, der nach Anwendung des Satzes 1 den 2,5-fachen Wert der monatlichen Beitragsbemessungsgrenze in der gesetzlichen Rentenversicherung (West bzw. Ost) übersteigt; wenn eine zusatzversorgungspflichtige Jahressonderzahlung gezahlt wird, ist der vorgenannte Wert jährlich einmal im Monat der Zahlung der Zuwendung zu verdoppeln. 4Als zusatzversorgungspflichtiges Entgelt gilt für Kalendermonate, in denen Beschäftigte für mindestens einen Tag Anspruch auf Krankengeldzuschuss haben – auch wenn dieser wegen der Höhe der Barleistungen des Sozialversicherungsträgers nicht gezahlt wird –, das fiktive Entgelt nach § 21 TVöD bzw. entsprechenden tarifvertraglichen Regelungen , das für die Tage, für die tatsächlich Anspruch auf Entgelt, Entgeltfortzahlung oder Krankengeldzuschuss bestand, im Falle eines entsprechenden Entgeltfortzahlungsanspruchs gezahlt worden wäre. 5In diesen Kalendermonaten geleistete einmalige Zahlungen sind neben dem fiktiven Entgelt nach § 21 TVöD bzw. entsprechenden tarifvertraglichen Regelungen nach Maßgabe der Sätze 2 und 3 zusatzversorgungspflichtiges Entgelt. 6Für Beschäftigte, die zur Übernahme von Aufgaben der Entwicklungshilfe im Sinne des § 1 Entwicklungshilfegesetz vom 18. Juni 1969 in der jeweils geltenden Fassung ohne Arbeitsentgelt beurlaubt sind, hat das Mitglied für die Zeit der Beurlaubung – je nach Finanzierung – Pflichtbeiträge, Zusatzbeiträge, Umlagen und Sanierungsgelder an die Kasse abzuführen, wenn der Träger der Entwicklungshilfe die Pflichtbeiträge, Zusatzbeiträge, Umlagen und Sanierungsgelder erstattet. 7Für die Bemessung der Pflichtbeiträge, Zusatzbeiträge, Umlagen und Sanierungsgelder gilt als zusatzversorgungspflichtiges Entgelt das Entgelt, von dem nach § 166 Abs. 1 Nr. 4 SGB VI die Beiträge für die gesetzliche Rentenversicherung zu berechnen sind. 8Verminderungen des steuerpflichtigen Entgelts aufgrund einer Entgeltumwandlung gelten als steuerpflichtiger Arbeitslohn.</w:t>
      </w:r>
    </w:p>
    <w:p>
      <w:r>
        <w:t xml:space="preserve">(3) 1Wird Altersteilzeit nach dem 31. Dezember 2002 vereinbart, ist – unter Berücksichtigung des Absatzes 2 Satz 1 – zusatzversorgungspflichtiges Entgelt während des Altersteilzeitarbeitsverhältnisses das 1,8-fache der zur Hälfte zustehenden Bezüge nach § 4 des Tarifvertrages zur Regelung der Altersteilzeitarbeit (TV ATZ), nach § 7 des Tarifvertrags zu flexiblen Arbeitszeitregelungen für ältere Beschäftigte (TV Flex AZ) oder nach einem vergleichbaren Tarifvertrag zuzüglich derjenigen Bezüge, die in voller Höhe zustehen. 2Wird ein Beitrag an die gesetzliche Rentenversicherung gezahlt, der den Mindestbeitrag nach § 3 Abs. 1 Nr. 1 Buchstabe b des Altersteilzeitgesetzes übersteigt, ist das zusatzversorgungspflichtige Entgelt entsprechend zu erhöhen.</w:t>
      </w:r>
    </w:p>
    <w:p>
      <w:r>
        <w:t xml:space="preserve">(4) 1Durch landesbezirklichen Tarifvertrag kann für Mitglieder der Kasse, die sich in einer wirtschaftlichen Notlage befinden, für die Pflichtversicherung geregelt werden, dass für die Zusage von Leistungen für die Dauer von bis zu drei Jahren bis zu einer Mindesthöhe von zwei v.H. von der gemäß § 34 Absatz 2 zugesagten Leistung abgewichen werden kann. 2Dies gilt auch für nicht tarifgebundene Mitglieder bei Vorliegen einer betrieblichen oder überbetrieblichen Vereinbarung mit Zustimmung der Kasse. 3Entsprechend der Verminderung der Leistungszusage für die bei dem Mitglied beschäftigten Pflichtversicherten reduziert sich für die Mitglieder insoweit die zu tragende Umlagebelastung beziehungsweise der an die Kasse zu zahlende Beitrag. 4Die Regelung kann über die in Satz 1 genannte Dauer hinaus verlängert werden.</w:t>
      </w:r>
    </w:p>
    <w:p>
      <w:r>
        <w:rPr>
          <w:color w:val="555555"/>
          <w:sz w:val="17"/>
        </w:rPr>
        <w:t xml:space="preserve">Zitiervorschlag: § 62 NW_28244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https://recht.nulegal.eu/gesetze/NW_28244/62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