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NW_28244 (Nordrhein-Westfalen) — Aufwendungen für die Pflichtversicherung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Mitglied ist Schuldner der</w:t>
      </w:r>
    </w:p>
    <w:p>
      <w:r>
        <w:t xml:space="preserve">a) Umlagen (§ 62 Abs. 1),</w:t>
      </w:r>
    </w:p>
    <w:p>
      <w:r>
        <w:t xml:space="preserve">b) Pflichtbeiträge (§ 62 Abs. 1),</w:t>
      </w:r>
    </w:p>
    <w:p>
      <w:r>
        <w:t xml:space="preserve">c) Sanierungsgelder (§ 63) und</w:t>
      </w:r>
    </w:p>
    <w:p>
      <w:r>
        <w:t xml:space="preserve">d) Zusatzbeiträge (§64)</w:t>
      </w:r>
    </w:p>
    <w:p>
      <w:r>
        <w:t xml:space="preserve">einschließlich einer tarif- oder arbeitsvertraglich vereinbarten Eigenbeteiligung der/des Pflichtversicherten.</w:t>
      </w:r>
    </w:p>
    <w:p>
      <w:r>
        <w:rPr>
          <w:color w:val="555555"/>
          <w:sz w:val="17"/>
        </w:rPr>
        <w:t xml:space="preserve">Zitiervorschlag: § 61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https://recht.nulegal.eu/gesetze/NW_28244/61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