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NW_28244 (Nordrhein-Westfalen) — Finanzieller Ausgleich beim Ausscheiden aus dem Abrechnungsverband II</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Rechnungsgrundlagen zur Ermittlung und Deckung des Finanzbedarfs (§ 60a) werden zugunsten der Mitglieder auf Grundlage bester Schätzwerte und damit ohne zusätzliche Sicherheiten bestimmt. 2Dem daraus resultierenden Unterfinanzierungsrisiko wird bei fortbestehender Mitgliedschaft im Abrechnungsverband II durch Maßnahmen gemäß § 60a Absatz 6 begegnet. 3Scheidet ein Mitglied hingegen aus, kann es für die Zukunft nicht mehr zum Ausgleich einer im Abrechnungsverband II eintretenden Unterfinanzierung für kapitalgedeckt geführte Verpflichtungen herangezogen werden, so dass zusätzliche Sicherheiten zu berücksichtigen sind. 4Im Hinblick auf die nicht kapitalgedeckt geführten Verpflichtungen ist ein Deckungskapital ohnehin nicht vorhanden. 5Folglich hat das ausgeschiedene Mitglied an die Kasse für die auf ihr lastenden Verpflichtungen, die dem ausgeschiedenen Mitglied zuzurechnen sind, einen finanziellen Ausgleich nach Maßgabe der nachfolgenden Regelungen zu erbringen.</w:t>
      </w:r>
    </w:p>
    <w:p>
      <w:r>
        <w:t xml:space="preserve">(2) 1Der finanzielle Ausgleich setzt sich zusammen aus einem Teil für kapitalgedeckt geführte Verpflichtungen und einem Teil für umlagefinanziert geführte Verpflichtungen. 2Der Teil des finanziellen Ausgleichs, der für kapitalgedeckt geführte Verpflichtungen zu zahlen ist, bestimmt sich nach Maßgabe der Absätze 3 bis 8 sowie den §§ 59b bis 59d und 59g. 3Der Teil des finanziellen Ausgleichs, der für umlagefinanziert geführte Verpflichtungen zu zahlen ist, bestimmt sich nach Maßgabe der Regelungen der §§ 15 bis 15b.</w:t>
      </w:r>
    </w:p>
    <w:p>
      <w:r>
        <w:t xml:space="preserve">(3) 1Der finanzielle Ausgleich für kapitalgedeckt geführte Verpflichtungen ist entweder in Form des Einmalbetrags (§ 59b) oder durch ratenweise Tilgung (§ 59c) zu leisten. 2Das ausgeschiedene Mitglied kann sich beim Einmalbetrag oder der ratenweisen Tilgung auch für die nachträgliche Neuberechnung (§ 59d) entscheiden. 3Die Berechnung des Einmalbetrags sowie der Tilgungsraten für die Tilgungszeiträume erfolgt durch ein versicherungsmathematisches Gutachten der/des Verantwortlichen Aktuarin/Aktuars, dem die maßgeblichen Barwertfaktorentabellen nach § 59b Absatz 4 Satz 1 beigefügt sind. 4Die für die Ermittlung des finanziellen Ausgleichs erforderlichen Bestandsdaten übermittelt die Kasse an die Verantwortliche Aktuarin/den Verantwortlichen Aktuar. 5Sofern die für die Berechnung erforderlichen Daten gemäß § 13 Absatz 5 und 7 noch nicht vorliegen, hat das ausgeschiedene Mitglied diese der Kasse unverzüglich zu übermitteln. 6Die Kasse stellt dem ausgeschiedenen Mitglied ihrerseits auf in Textform mitgeteiltes Verlangen die der Barwertberechnung zugrundeliegenden Bestandsdaten der Versicherten und Betriebsrentenberechtigten zum Zwecke des Abgleichs zur Verfügung. 7Kommt das ausgeschiedene Mitglied seiner Verpflichtung aus Satz 5 trotz Aufforderung und nachfolgender Mahnung nicht oder nicht umfassend nach, kann die Kasse das versicherungsmathematische Gutachten gemäß Satz 3 auf Grundlage der bei der Kasse bereits vorliegenden und auf den Zeitpunkt der Beendigung der Mitgliedschaft anzupassenden Bestandsdaten beauftragen.</w:t>
      </w:r>
    </w:p>
    <w:p>
      <w:r>
        <w:t xml:space="preserve">(4) 1Die Kasse übermittelt dem ausgeschiedenen Mitglied das Gutachten und fordert es in Textform auf, sich bis spätestens sechs Monate nach dessen Zugang für eine Form des Ausgleichs gemäß Absatz 3 Satz 1 zu entscheiden. 2Geht der Kasse innerhalb der Frist keine Entscheidung zu, gilt dies als Wahl des Einmalbetrags ohne die Möglichkeit der nachträglichen Neuberechnung. 3Wählt das ausgeschiedene Mitglied die ratenweise Tilgung, geht der Kasse jedoch innerhalb der Frist keine Entscheidung über den konkreten Tilgungszeitraum zu, gilt ein Zeitraum von 20 Jahren als gewählt. 4Das ausgeschiedene Mitglied hat innerhalb der Frist auch in Textform mitzuteilen, ob es die nachträgliche Neuberechnung gemäß § 59d wählt und hierbei anzugeben, für welchen Zeitraum die Neuberechnung erfolgen soll. 5Unterbleibt die Angabe des Zeitraums, gilt auch insoweit ein Zeitraum von 20 Jahren als gewählt. 6Die Kasse wird das ausgeschiedene Mitglied mit der Aufforderung gemäß Satz 1 auf die Rechtsfolgen gemäß den Sätzen 2, 3 und 5 hinweisen.</w:t>
      </w:r>
    </w:p>
    <w:p>
      <w:r>
        <w:t xml:space="preserve">(5) 1Mit Übersendung des Gutachtens gemäß Absatz 3 Satz 3 fordert die Kasse den sich aus dem Gutachten ergebenden Einmalbetrag bei dem ausgeschiedenen Mitglied für den Fall an, dass es innerhalb der Frist gemäß Absatz 4 Satz 1 nicht die ratenweise Tilgung wählt. 2Der finanzielle Betrag ist dann spätestens nach Ablauf von sechs Monaten nach Zugang der Mitteilung gemäß Absatz 4 Satz 1 zu zahlen.</w:t>
      </w:r>
    </w:p>
    <w:p>
      <w:r>
        <w:t xml:space="preserve">(6) 1Zur Abschätzung der wirtschaftlichen Folgen im Falle eines künftigen Ausscheidens ist das Mitglied jederzeit berechtigt, sich den zu einem von ihm bestimmten Stichtag voraussichtlich zu zahlenden Einmalbetrag gemäß § 59b und die prognostizierten Beträge gemäß § 59c Absatz 1 errechnen zu lassen. 2Die für die Berechnung erforderlichen Bestandsdaten werden von der Kasse an die Verantwortliche Aktuarin/den Verantwortlichen Aktuar übermittelt.</w:t>
      </w:r>
    </w:p>
    <w:p>
      <w:r>
        <w:t xml:space="preserve">(7) 1Ist das ausgeschiedene Mitglied durch eine Ausgliederung ganz oder teilweise aus einem anderen Mitglied des Abrechnungsverbandes II hervorgegangen, sind ihm auch Ansprüche und Anwartschaften aufgrund früherer Pflichtversicherungen über das ausgliedernde Mitglied zuzurechnen. 2Kann nicht festgestellt werden, welche der bei dem ausgliedernden Mitglied entstandenen Anwartschaften und Ansprüche dem ausgegliederten Bereich zuzuordnen sind, werden diese dem durch Ausgliederung entstandenen Mitglied in dem Verhältnis zugerechnet, das dem Verhältnis der Zahl der ausgegliederten Beschäftigten zur Gesamtzahl der Beschäftigten entspricht, die am Tag vor der Ausgliederung über das ausgliedernde Mitglied pflichtversichert waren. 3Für die Höhe der Anwartschaften und Ansprüche gemäß Satz 2 kann die Kasse Durchschnittsbeträge errechnen. 4Die hinzuzurechnenden Verpflichtungen gemäß Satz 2 vermindern sich um jeweils ein Zwanzigstel für je zwölf der in der Zeit zwischen dem Beginn und dem Ende der Mitgliedschaft im Abrechnungsverband II zurückgelegten vollen Monate. 5Die Sätze 1 bis 4 gelten entsprechend, wenn ein Mitglied Pflichtversicherte von einem anderen Mitglied des Abrechnungsverbandes II im Wege der Ausgliederung übernommen hat.</w:t>
      </w:r>
    </w:p>
    <w:p>
      <w:r>
        <w:t xml:space="preserve">(8) Der finanzielle Ausgleich vermindert sich anteilig, soweit Pflichtversicherungen der Beschäftigten des ausgeschiedenen Mitglieds, die in den 36 Monaten vor dem Ausscheiden durchgehend oder zeitweise bestanden haben, spätestens sechs Monate nach ihrer Beendigung über ein anderes Mitglied oder mehrere andere Mitglieder, auf das oder auf die die Aufgaben des früheren Mitglieds übergegangen sind (aufnehmende Mitglieder), im Abrechnungsverband II fortgesetzt werden.</w:t>
      </w:r>
    </w:p>
    <w:p>
      <w:r>
        <w:t xml:space="preserve">(5) § 15 Absatz 6 gilt entsprechend.</w:t>
      </w:r>
    </w:p>
    <w:p>
      <w:r>
        <w:rPr>
          <w:color w:val="555555"/>
          <w:sz w:val="17"/>
        </w:rPr>
        <w:t xml:space="preserve">Zitiervorschlag: § 59a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