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54a NW_28244 (Nordrhein-Westfalen) — Wirtschaftsführung und Rechnungswesen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Kasse wird jährlich ein Wirtschaftsplan sowie ein Jahresabschluss und ein Lagebericht erstellt.</w:t>
      </w:r>
    </w:p>
    <w:p>
      <w:r>
        <w:t xml:space="preserve">(2) Die für die Wirtschaftsführung und das Rechnungswesen der Eigenbetriebe geltenden Vorschriften sind sinngemäß anzuwenden:</w:t>
      </w:r>
    </w:p>
    <w:p>
      <w:r>
        <w:t xml:space="preserve">a) Wegen der Besonderheit der Aufgabenstellung werden die Bilanz nach Formblatt 1 und die Gewinn- und Verlustrechnung nach Formblatt 3 der Versicherungsunternehmens-Rechnungslegungsverordnung vom 8. November 1994 (BGBl. I S. 3378) in der jeweils geltenden Fassung gegliedert.</w:t>
      </w:r>
    </w:p>
    <w:p>
      <w:r>
        <w:t xml:space="preserve">b) Auf die Darstellung einer mittelfristigen Finanzplanung mit Investitionsprogramm sowie auf die Abgabe von Zwischenberichten im Sinne von § 20 Eigenbetriebsverordnung für das Land Nordrhein-Westfalen vom 16. November 2004 (GV. NRW. S. 644) in der jeweils geltenden Fassung wird verzichtet.</w:t>
      </w:r>
    </w:p>
    <w:p>
      <w:r>
        <w:t xml:space="preserve">c) Der Jahresabschluss, der Lagebericht und gegebenenfalls die Erfolgsübersicht sind von der Leiterin/vom Leiter der Kasse und von der Geschäftsführerin/vom Geschäftsführer bis zum Ablauf des 30. Juni nach dem Ende des Wirtschaftsjahres aufzustellen, unter Angabe des Datums zu unterzeichnen und dem Kassenausschuss zur Feststellung zuzuleiten.</w:t>
      </w:r>
    </w:p>
    <w:p>
      <w:r>
        <w:t xml:space="preserve">d) Von einer öffentlichen Bekanntmachung der Feststellung des Jahresabschlusses und des Lageberichtes sowie einer öffentlichen Auslegung wird abgesehen.</w:t>
      </w:r>
    </w:p>
    <w:p>
      <w:r>
        <w:t xml:space="preserve">e) Der Kassenausschuss bestimmt, welcher Wirtschaftsprüfer beziehungsweise welche Wirtschaftsprüfungsgesellschaft mit der Prüfung des Jahresabschlusses und des Lageberichtes (§ 103 GO NW) beauftragt wird.</w:t>
      </w:r>
    </w:p>
    <w:p>
      <w:r>
        <w:rPr>
          <w:color w:val="555555"/>
          <w:sz w:val="17"/>
        </w:rPr>
        <w:t xml:space="preserve">Zitiervorschlag: § 54a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https://recht.nulegal.eu/gesetze/NW_28244/54a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