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52a NW_28244 (Nordrhein-Westfalen) — entfallen</w:t>
      </w:r>
    </w:p>
    <w:p>
      <w:r>
        <w:rPr>
          <w:color w:val="555555"/>
          <w:sz w:val="18"/>
        </w:rPr>
        <w:t xml:space="preserve">Satzung der Rheinischen Zusatzversorgungskasse - RZVK -,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Vierter Teil</w:t>
      </w:r>
    </w:p>
    <w:p>
      <w:r>
        <w:t xml:space="preserve">Finanzierung und Rechnungswesen</w:t>
      </w:r>
    </w:p>
    <w:p>
      <w:r>
        <w:t xml:space="preserve">Abschnitt I</w:t>
      </w:r>
    </w:p>
    <w:p>
      <w:r>
        <w:t xml:space="preserve">Allgemeines</w:t>
      </w:r>
    </w:p>
    <w:p>
      <w:r>
        <w:rPr>
          <w:color w:val="555555"/>
          <w:sz w:val="17"/>
        </w:rPr>
        <w:t xml:space="preserve">Zitiervorschlag: § 52a NW_28244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https://recht.nulegal.eu/gesetze/NW_28244/52a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