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46b NW_28244 (Nordrhein-Westfalen) — Gerichtsstand</w:t>
      </w:r>
    </w:p>
    <w:p>
      <w:r>
        <w:rPr>
          <w:color w:val="555555"/>
          <w:sz w:val="18"/>
        </w:rPr>
        <w:t xml:space="preserve">Satzung der Rheinischen Zusatzversorgungskasse - RZVK -,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1Ansprüche aus der Pflichtversicherung können gegen die Kasse bei dem für deren Sitz zuständigen Gericht geltend gemacht werden. 2Gerichtsstand ist der Sitz der Kasse in Köln.</w:t>
      </w:r>
    </w:p>
    <w:p>
      <w:r>
        <w:t xml:space="preserve">(2) Falls die/der Versicherte oder Betriebsrentenberechtigte nach Beginn der Pflichtversicherung ihren/seinen Wohnsitz oder gewöhnlichen Aufenthalt außerhalb der Bundesrepublik Deutschland verlegt oder der Wohnsitz oder gewöhnliche Aufenthalt im Zeitpunkt der Klageerhebung nicht bekannt ist, ist für Klagen aus dem Versicherungsvertrag ausschließlich das Gericht am Sitz der Kasse zuständig.</w:t>
      </w:r>
    </w:p>
    <w:p>
      <w:r>
        <w:rPr>
          <w:color w:val="555555"/>
          <w:sz w:val="17"/>
        </w:rPr>
        <w:t xml:space="preserve">Zitiervorschlag: § 46b NW_28244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https://recht.nulegal.eu/gesetze/NW_28244/46b</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