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NW_28244 (Nordrhein-Westfalen) — Eheversorgungsausgleich</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Zum Ausgleich der nach dieser Satzung erworbenen Anrechte findet die interne Teilung nach dem Versorgungsausgleichsgesetz sowie den nachstehenden Regelungen statt.</w:t>
      </w:r>
    </w:p>
    <w:p>
      <w:r>
        <w:t xml:space="preserve">(2) 1Der Ausgleichswert wird in Form von Versorgungspunkten ausgewiesen. 2Die Höhe des Ausgleichswertes wird ermittelt, indem der hälftige Ehezeitanteil der ausgleichspflichtigen Person anhand ihrer versicherungsmathematischen Barwertfaktoren in einen Kapitalwert umgerechnet und nach Abzug der hälftigen Teilungskosten anhand der versicherungsmathematischen Barwertfaktoren der ausgleichsberechtigten Person in Versorgungspunkte umgerechnet wird. 3Hat die ausgleichspflichtige Person zum Ende der Ehezeit einen Rentenanspruch, sind für beide Personen die Rentenbarwertfaktoren zugrunde zu legen; ansonsten die Anwartschaftsbarwertfaktoren.</w:t>
      </w:r>
    </w:p>
    <w:p>
      <w:r>
        <w:t xml:space="preserve">(3) 1Wird vom Familiengericht für die ausgleichsberechtigte Person ein Anrecht übertragen, erwirbt die ausgleichsberechtigte Person bezogen auf das Ende der Ehezeit ein von einer eigenen Pflichtversicherung unabhängiges Anrecht und gilt diesbezüglich mit folgenden Besonderheiten als beitragsfrei versichert:</w:t>
      </w:r>
    </w:p>
    <w:p>
      <w:r>
        <w:t xml:space="preserve">a) Die Wartezeit nach § 32 gilt als erfüllt.</w:t>
      </w:r>
    </w:p>
    <w:p>
      <w:r>
        <w:t xml:space="preserve">b) In den Fällen des § 43 sind die Pflichtversicherungszeiten der ausgleichspflichtigen Person zum Ende der Ehezeit zu berücksichtigen.</w:t>
      </w:r>
    </w:p>
    <w:p>
      <w:r>
        <w:t xml:space="preserve">c) Die Zuteilung der Bonuspunkte kommt in Betracht, wenn die ausgleichspflichtige Person zum Ende der Ehezeit eine Wartezeit von 120 Umlage-/Pflichtbeitragsmonaten erfüllt hat.</w:t>
      </w:r>
    </w:p>
    <w:p>
      <w:r>
        <w:t xml:space="preserve">2Ist der Versicherungsfall der ausgleichsberechtigten Person vor dem Ende der Ehezeit eingetreten, gilt bezüglich des übertragenen Anrechts der Versicherungsfall zum Ersten des Monats nach dem Ende der Ehezeit als eingetreten. 3Ist der Versorgungsausgleich nach Eintritt des Versicherungsfalls der ausgleichsberechtigten Person wirksam geworden, wird die Betriebsrente aus dem übertragenen Anrecht von dem Kalendermonat an gezahlt, zu dessen Beginn der Versorgungsausgleich wirksam ist; § 38 Abs. 2 2. Halbsatz gilt entsprechend.</w:t>
      </w:r>
    </w:p>
    <w:p>
      <w:r>
        <w:t xml:space="preserve">(4) 1Die Anwartschaft der ausgleichspflichtigen Person wird zum Ende der Ehezeit um die Versorgungspunkte gekürzt, die sich durch Umrechnung des Ausgleichswerts anhand der versicherungsmathematischen Barwertfaktoren der ausgleichsberechtigten Person in einen Kapitalwert und unter Berücksichtigung der Teilungskosten anhand der versicherungsmathematischen Barwertfaktoren der ausgleichspflichtigen Person ergeben. 2Der Anspruch der ausgleichspflichtigen Person wird zum Ende der Ehezeit um den Rentenbetrag gekürzt, der sich entsprechend Satz 1 ergibt. 3Absatz 2 Satz 3 ist anzuwenden. 4Ist der Versorgungsausgleich nach Beginn der Rente der ausgleichspflichtigen Person wirksam geworden, wird die Betriebsrente von dem Kalendermonat an vermindert, zu dessen Beginn der Versorgungsausgleich wirksam ist.</w:t>
      </w:r>
    </w:p>
    <w:p>
      <w:r>
        <w:t xml:space="preserve">(5) Anrechte werden nur innerhalb der Pflichtversicherung auf der Basis des Kapitalwerts vor Berücksichtigung der Teilungskosten verrechnet.</w:t>
      </w:r>
    </w:p>
    <w:p>
      <w:r>
        <w:t xml:space="preserve">(6) 1Soweit der Versorgungsausgleich nach dem analogen Quasisplitting durchgeführt wurde, berechnet sich der Kürzungsbetrag, indem der Begründungsbetrag der familiengerichtlichen Entscheidung durch den aktuellen Rentenwert zum gesetzlichen Ehezeitende dividiert und mit dem aktuellen Rentenwert zum Rentenbeginn vervielfacht wird. 2Dieser Kürzungsbetrag wird entsprechend der Entwicklung des aktuellen Rentenwerts angepasst. 3Wurde im familiengerichtlichen Urteil in Entgeltpunkte (Ost) tenoriert, ist der entsprechende aktuelle Rentenwert (Ost) zu verwenden. 4In den Fällen mit einem Rentenbeginn vor dem 1. Februar 2018 erfolgt die Berechnung des Kürzungsbetrags nach Satz 1 bis 3 nur auf Antrag der/des Betriebsrentenberechtigten. 5Bei einer Abfindung errechnet sich der Abfindungsbetrag aus dem unter Berücksichtigung des durchgeführten Versorgungsausgleichs gekürzten Betrags der Betriebsrente. 6Dies gilt auch dann, wenn die Betriebsrente vor der Abfindung noch ungekürzt zu zahlen war.</w:t>
      </w:r>
    </w:p>
    <w:p>
      <w:r>
        <w:t xml:space="preserve">Abschnitt II</w:t>
      </w:r>
    </w:p>
    <w:p>
      <w:r>
        <w:t xml:space="preserve">Verfahrensvorschriften</w:t>
      </w:r>
    </w:p>
    <w:p>
      <w:r>
        <w:rPr>
          <w:color w:val="555555"/>
          <w:sz w:val="17"/>
        </w:rPr>
        <w:t xml:space="preserve">Zitiervorschlag: § 44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