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NW_28244 (Nordrhein-Westfalen) — Betriebsrente für Hinterbliebene</w:t>
      </w:r>
    </w:p>
    <w:p>
      <w:r>
        <w:rPr>
          <w:color w:val="555555"/>
          <w:sz w:val="18"/>
        </w:rPr>
        <w:t xml:space="preserve">Satzung der Rheinischen Zusatzversorgungskasse - RZVK -,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1Stirbt eine/ein Versicherte/-r, die/der die Wartezeit (§ 32) erfüllt hat, oder eine/ein Betriebsrentenberechtigte/-r, hat die hinterbliebene Ehegattin/der hinterbliebene Ehegatte Anspruch auf eine kleine oder große Betriebsrente für Witwen/Witwer, wenn und solange ein Anspruch auf Witwen-/Witwerrente aus der gesetzlichen Rentenversicherung besteht oder bestehen würde, sofern kein Rentensplitting unter Ehegatten durchgeführt worden wäre. 2Art (kleine/große Betriebsrenten für Witwen/Witwer), Höhe (der nach Ablauf des Sterbevierteljahres maßgebende Rentenartfaktor nach § 67 Nr. 5 und 6 und § 255 Abs. 1 SGB VI) und Dauer des Anspruchs richten sich - soweit nachstehend keine abweichenden Regelungen getroffen sind - nach den entsprechenden Bestimmungen der gesetzlichen Rentenversicherung. 3Bemessungsgrundlage der Betriebsrenten für Hinterbliebene ist jeweils die Betriebsrente, die die/der Verstorbene bezogen hat oder hätte beanspruchen können, wenn sie/er im Zeitpunkt ihres/seines Todes wegen voller Erwerbsminderung ausgeschieden wäre. 4Die Kinder der/des Verstorbenen haben entsprechend den Sätzen 1 bis 3 Anspruch auf Betriebsrente für Voll- oder Halbwaisen; Kinder sind die leiblichen und angenommenen Kinder sowie die Pflegekinder im Sinne des § 32 Abs. 1 Nr. 2 EStG. 5Als Kinder im Sinne des Satzes 4 gelten nur die Kinder, die nach § 32 Abs. 3, Abs. 4 Satz 1 Nr. 1 bis 3 und Abs. 5 EStG berücksichtigungsfähig sind. 6Der Anspruch ist durch Bescheid des Trägers der gesetzlichen Rentenversicherung nachzuweisen.</w:t>
      </w:r>
    </w:p>
    <w:p>
      <w:r>
        <w:t xml:space="preserve">(2) 1Anspruch auf Betriebsrente für Witwen/Witwer besteht nicht, wenn die Ehe mit der/dem Verstorbenen weniger als zwölf Monate gedauert hat, es sei denn, dass nach den besonderen Umständen des Falles die Annahme nicht gerechtfertigt ist, dass es der alleinige oder überwiegende Zweck der Heirat war, der Witwe/dem Witwer eine Betriebsrente zu verschaffen.</w:t>
      </w:r>
    </w:p>
    <w:p>
      <w:r>
        <w:t xml:space="preserve">(3) 1Witwen-/Witwerrente und Waisenrenten dürfen zusammen den Betrag der ihrer Berechnung zugrunde liegenden Betriebsrente nicht übersteigen. 2Ergeben die Hinterbliebenenrenten in der Summe einen höheren Betrag, werden sie anteilig gekürzt. 3Erlischt eine der anteilig gekürzten Hinterbliebenenrenten, erhöhen sich die verbleibenden Hinterbliebenenrenten vom Beginn des folgenden Monats entsprechend, jedoch höchstens bis zum vollen Betrag der Betriebsrente der/des Verstorbenen.</w:t>
      </w:r>
    </w:p>
    <w:p>
      <w:r>
        <w:t xml:space="preserve">(4) Für einen Anspruch auf Betriebsrente für Witwen/Witwer gelten als Heirat auch die Begründung einer Lebenspartnerschaft, als Ehe auch eine Lebenspartnerschaft, als Witwe und Witwer auch ein/e überlebende/r Lebenspartner/in und als Ehegatte auch ein/e Lebenspartner/in jeweils im Sinne des Lebenspartnerschaftsgesetzes.</w:t>
      </w:r>
    </w:p>
    <w:p>
      <w:r>
        <w:rPr>
          <w:color w:val="555555"/>
          <w:sz w:val="17"/>
        </w:rPr>
        <w:t xml:space="preserve">Zitiervorschlag: § 36 NW_28244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https://recht.nulegal.eu/gesetze/NW_28244/36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