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NW_28244 (Nordrhein-Westfalen) — Ende der Versicherungspflicht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Versicherungspflicht endet mit der Beendigung des Beschäftigungsverhältnisses oder in dem Zeitpunkt, in dem ihre Voraussetzungen entfallen.</w:t>
      </w:r>
    </w:p>
    <w:p>
      <w:r>
        <w:t xml:space="preserve">(2) 1Die Abmeldung von der Pflichtversicherung (§ 13 Abs. 4 Satz 2 Buchstabe a) kann unterbleiben, wenn das Arbeitsverhältnis unter den in § 66 Absatz 4 Satz 3 genannten Voraussetzungen beendet worden ist. 2Die Abmeldung ist auf den Zeitpunkt der Beendigung des Arbeitsverhältnisses nachzuholen, falls die/der Pflichtversicherte von ihrem/seinem Anspruch auf Wiedereinstellung keinen Gebrauch macht.</w:t>
      </w:r>
    </w:p>
    <w:p>
      <w:r>
        <w:t xml:space="preserve">(3) Die Höhe der Anwartschaft beschränkt sich – abgesehen von Anwartschaften aus Überschüssen nach Maßgabe des § 66 und aus nachträglich eingehenden Altersvorsorgezulagen – auf die bis zum Ende der Beschäftigung erworbenen Versorgungspunkte.</w:t>
      </w:r>
    </w:p>
    <w:p>
      <w:r>
        <w:rPr>
          <w:color w:val="555555"/>
          <w:sz w:val="17"/>
        </w:rPr>
        <w:t xml:space="preserve">Zitiervorschlag: § 20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