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NW_28244 (Nordrhein-Westfalen) — Aufgaben, Rechtsgrundlagen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Kasse hat die Aufgabe, den Beschäftigten ihrer Mitglieder eine zusätzliche Alters-, Erwerbsminderungs- und Hinterbliebenenversorgung zu gewähren. 2Im Rahmen der betrieblichen Altersversorgung steht die Kasse den Mitgliedern und den Beschäftigten auch für eine freiwillige Versicherung in Anlehnung an das Punktemodell offen. 3Die organisatorische und technische Entwicklung oder anderweitige Beschaffung, Bereithaltung sowie Nutzung der zur Erfüllung dieser Aufgaben benötigten IT-Infrastruktur gehört zu den wesentlichen Aufgaben der Kasse.</w:t>
      </w:r>
    </w:p>
    <w:p>
      <w:r>
        <w:t xml:space="preserve">(2) 1Die in der Satzung festgelegten Voraussetzungen und Inhalte der Einzelversicherungsverhältnisse sowie die Versicherungsleistungen richten sich nach dem Tarifvertrag über die zusätzliche Altersvorsorge der Beschäftigten des öffentlichen Dienstes (ATV-K). 2Werden Bestimmungen des ATV-K geändert, die Auswirkungen auf die Satzung der Kasse haben, so sind die entsprechenden Satzungsvorschriften unverzüglich anzupassen. 3Die Kasse kann die geänderten Bestimmungen des ATV-K vor Anpassung der Satzungsvorschriften anwenden.</w:t>
      </w:r>
    </w:p>
    <w:p>
      <w:r>
        <w:t xml:space="preserve">(3) Satzungsänderungen gelten, soweit nichts anderes bestimmt wird, auch für bestehende Mitgliedsverhältnisse, Einzelversicherungsverhältnisse sowie für bereits bewilligte Versicherungsleistungen.</w:t>
      </w:r>
    </w:p>
    <w:p>
      <w:r>
        <w:rPr>
          <w:color w:val="555555"/>
          <w:sz w:val="17"/>
        </w:rPr>
        <w:t xml:space="preserve">Zitiervorschlag: § 2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