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15d NW_28244 (Nordrhein-Westfalen) — Kosten der versicherungsmathematischen Gutachten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der versicherungsmathematischen Gutachten nach §§ 15 bis 15c hat das ausgeschiedene Mitglied bzw. Mitglied zu tragen; die Kosten für die Erstellung der Gutachten über die Barwertfaktorentabellen nach § 15a Absatz 3 sowie einer durch die Kasse gemäß</w:t>
      </w:r>
    </w:p>
    <w:p>
      <w:r>
        <w:t xml:space="preserve">§ 15b Absatz 3 veranlassten Neuberechnung trägt die Kasse.</w:t>
      </w:r>
    </w:p>
    <w:p>
      <w:r>
        <w:t xml:space="preserve">Abschnitt II</w:t>
      </w:r>
    </w:p>
    <w:p>
      <w:r>
        <w:t xml:space="preserve">Voraussetzungen und Inhalt der Versicherungsverhältnisse</w:t>
      </w:r>
    </w:p>
    <w:p>
      <w:r>
        <w:rPr>
          <w:color w:val="555555"/>
          <w:sz w:val="17"/>
        </w:rPr>
        <w:t xml:space="preserve">Zitiervorschlag: § 15d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https://recht.nulegal.eu/gesetze/NW_28244/15d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