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NW_28244 (Nordrhein-Westfalen) — Personalgestellung</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1Ein Mitglied der Kasse, das einem Dritten, der nicht Mitglied in demselben Abrechnungsverband der Pflichtversicherung ist, Personal stellt (zum Beispiel § 4 Absatz 3 Tarifvertrag für den öffentlichen Dienst, im Folgenden TVöD), ist vorbehaltlich der Regelungen in den folgenden Absätzen verpflichtet, für die dem Dritten gestellten Pflichtversicherten und die diesem Versichertenbestand zuzuordnenden Ansprüche und Anwartschaften aufgrund früherer Pflichtversicherungen einen anteiligen Abgeltungsbetrag entsprechend § 12 Absatz 2 an die Kasse zu zahlen. 2§ 12 Absatz 5 Satz 4 gilt entsprechend.</w:t>
      </w:r>
    </w:p>
    <w:p>
      <w:r>
        <w:t xml:space="preserve">(2) Ein Abgeltungsbetrag fällt nicht an, wenn der Dritte ebenfalls Mitglied im selben Abrechnungsverband der Pflichtversicherung ist, dem auch das Personal stellende Mitglied angehört (zum Beispiel bei einer interkommunalen Zusammenarbeit) oder eine Vereinbarung gemäß § 12 Absatz 5 geschlossen hat.</w:t>
      </w:r>
    </w:p>
    <w:p>
      <w:r>
        <w:t xml:space="preserve">(3) 1Die Kasse wird von der Erhebung des Abgeltungsbetrages absehen, soweit mit den Personalgestellungen keine wesentlichen finanziellen Ausfälle für denjenigen Abrechnungsverband der Pflichtversicherung, dem das Personal stellende Mitglied angehört, verbunden sind. 2Als nicht wesentlich wird ein finanzieller Ausfall eingestuft, soweit</w:t>
      </w:r>
    </w:p>
    <w:p>
      <w:r>
        <w:t xml:space="preserve">a) das Verhältnis der zusatzversorgungspflichtigen Jahresentgeltsumme der gestellten Beschäftigten zur zusatzversorgungspflichtigen Jahresentgeltsumme aller Beschäftigten des Mitglieds – jeweils bereinigt um lineare Entgeltsteigerungen – oder</w:t>
      </w:r>
    </w:p>
    <w:p>
      <w:r>
        <w:t xml:space="preserve">b) das Verhältnis der Anzahl der gestellten pflichtversicherten Beschäftigten des Mitglieds zur Anzahl seiner insgesamt angemeldeten pflichtversicherten Beschäftigten – gemessen in Vollzeitäquivalenten –</w:t>
      </w:r>
    </w:p>
    <w:p>
      <w:r>
        <w:t xml:space="preserve">in einem ersten Betrachtungszeitraum insgesamt nicht mehr als fünf vom Hundert und in einem zweiten Betrachtungszeitraum nicht mehr als jeweils ein vom Hundert in jedem einzelnen Jahr dieses Zeitraumes beträgt. 3Der erste Betrachtungszeitraum beginnt zu dem Zeitpunkt des Wirksamwerdens der ersten Personalgestellung und endet mit Ablauf von fünf Jahren danach. 4Der zweite Betrachtungszeitraum schließt sich an den ersten an und endet mit Ablauf von weiteren fünf Jahren. 5Eine von dem das Personal stellenden Mitglied in anderen Bereichen innerhalb dieser Betrachtungszeiträume vorgenommene Personalaufstockung wird jeweils zu seinen Gunsten berücksichtigt, es sei denn, dass diese Personalaufstockung innerhalb von fünf Jahren nach der Aufstockung wieder rückgängig gemacht wird. 6Werden die Regelungen dieses Absatzes in den dafür vorgesehenen Jahren nicht genutzt, ist eine Übertragung auf andere Zeiträume ausgeschlossen. 7Wenn die Zahl der vom Mitglied zu meldenden Personalgestellungen den Wert von drei vom Hundert erreicht, ergeht ein schriftlicher Hinweis der Kasse an das Mitglied.</w:t>
      </w:r>
    </w:p>
    <w:p>
      <w:r>
        <w:t xml:space="preserve">(4) Mitglieder, die von einer Personalgestellung (vgl. zum Beispiel § 4 Absatz 3 TVöD) Gebrauch machen wollen, können von der Kasse eine Beratung über Alternativen zu einem mit einer Personalgestellung verbundenen Teilausstieg aus demjenigen Abrechnungsverband der Pflichtversicherung, dem sie angehören, beanspruchen.</w:t>
      </w:r>
    </w:p>
    <w:p>
      <w:r>
        <w:t xml:space="preserve">(5) Die Kosten für die erforderlichen versicherungsmathematischen Berechnungen zur Ermittlung des anteiligen Abgeltungsbetrages gemäß Absatz 1 trägt das Mitglied.</w:t>
      </w:r>
    </w:p>
    <w:p>
      <w:r>
        <w:t xml:space="preserve">(6) Die Absätze 1 bis 5 gelten entsprechend, wenn Aufgaben und die bisherigen Pflichtversicherten beim Mitglied verbleiben, die zur dauerhaften Aufgabenerfüllung notwendig werdenden Neu- oder Ersatzeinstellungen jedoch von einem anderen Arbeitgeber vorgenommen werden, der nicht Mitglied in demselben Abrechnungsverband der Pflichtversicherung wie das Mitglied, bei dem die notwendigen werdenden Neu- oder Ersatzeinstellungen entfallen, ist, und die Neu- oder Ersatzeinstellungen dem Mitglied im Wege der Personalgestellung zur Verfügung gestellt werden.</w:t>
      </w:r>
    </w:p>
    <w:p>
      <w:r>
        <w:t xml:space="preserve">(7) 1Der anteilige Abgeltungsbetrag nach Absatz 1 ist innerhalb von sechs Monaten nach Zugang der Forderungsmitteilung der Kasse vom Mitglied zu zahlen. 2§ 12 Absatz 3 Satz 4 findet entsprechende Anwendung.</w:t>
      </w:r>
    </w:p>
    <w:p>
      <w:r>
        <w:rPr>
          <w:color w:val="555555"/>
          <w:sz w:val="17"/>
        </w:rPr>
        <w:t xml:space="preserve">Zitiervorschlag: § 12a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https://recht.nulegal.eu/gesetze/NW_28244/12a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