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NW_28244 (Nordrhein-Westfalen) — Auflösung der Kasse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Kasse kann nur durch Gesetz aufgelöst werden.</w:t>
      </w:r>
    </w:p>
    <w:p>
      <w:r>
        <w:t xml:space="preserve">(2) 1Im Falle der Auflösung sind zunächst die Verbindlichkeiten der Kasse gegenüber Dritten zu erfüllen. 2Im Übrigen sind zunächst die Ansprüche der Rentenempfänger auf Leistungen, soweit sie auf arbeitnehmerfinanzierten Beitragsleistungen, Eigenbeteiligungen der Pflichtversicherten oder bis zum 31. Dezember 1977 entrichteten Beiträgen beruhen, sicherzustellen und dann die Anwartschaften der bei der Kasse versicherten Personen auf diese Leistungen abzufinden. 3Aus dem restlichen Kassenvermögen sind die Ansprüche der Rentenempfänger hinsichtlich anderer als der in Satz 2 angeführten Leistungsteile abzufinden.</w:t>
      </w:r>
    </w:p>
    <w:p>
      <w:r>
        <w:t xml:space="preserve">Zweiter Teil</w:t>
      </w:r>
    </w:p>
    <w:p>
      <w:r>
        <w:t xml:space="preserve">Versicherungsverhältnisse</w:t>
      </w:r>
    </w:p>
    <w:p>
      <w:r>
        <w:t xml:space="preserve">Abschnitt I</w:t>
      </w:r>
    </w:p>
    <w:p>
      <w:r>
        <w:t xml:space="preserve">Das Mitgliedsverhältnis</w:t>
      </w:r>
    </w:p>
    <w:p>
      <w:r>
        <w:rPr>
          <w:color w:val="555555"/>
          <w:sz w:val="17"/>
        </w:rPr>
        <w:t xml:space="preserve">Zitiervorschlag: § 10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