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NW_28242 (Nordrhein-Westfalen) — Rechnungslegung, Gewinnverwendung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hat innerhalb der gesetzlich zulässigen Frist für das vergangene Geschäftsjahr den Jahresabschluss sowie den Lagebericht aufzustellen und dem Abschlussprüfer vorzulegen.</w:t>
      </w:r>
    </w:p>
    <w:p>
      <w:r>
        <w:t xml:space="preserve">(2) Unverzüglich nach Eingang des Prüfungsberichts des Abschlussprüfers hat der Vorstand den Jahresabschluss, den Lagebericht und den Prüfungsbericht zusammen mit dem Vorschlag über die Verwendung des Bilanzgewinns dem Verwaltungsrat vorzulegen.</w:t>
      </w:r>
    </w:p>
    <w:p>
      <w:r>
        <w:t xml:space="preserve">(3) Geschäftsjahr ist das Kalenderjahr.</w:t>
      </w:r>
    </w:p>
    <w:p>
      <w:r>
        <w:rPr>
          <w:color w:val="555555"/>
          <w:sz w:val="17"/>
        </w:rPr>
        <w:t xml:space="preserve">Zitiervorschlag: § 14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NW_28242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