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NW_28241 (Nordrhein-Westfalen) — In-Kraft-Treten</w:t>
      </w:r>
    </w:p>
    <w:p>
      <w:r>
        <w:rPr>
          <w:color w:val="555555"/>
          <w:sz w:val="18"/>
        </w:rPr>
        <w:t xml:space="preserve">Bekanntmachung der Verwaltungsvereinbarung über die Bildung einer Flussgebietsgemeinschaft Ems zur Umsetzung der RL 2000/60/EG - Wasserrahmenrichtlinie (WRRL) - in der Flussgebietseinheit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tritt mit der letzten Unterzeichnung in Kraft.</w:t>
      </w:r>
    </w:p>
    <w:p>
      <w:r>
        <w:t xml:space="preserve">Hannover, den 2. August 2002</w:t>
      </w:r>
    </w:p>
    <w:p>
      <w:r>
        <w:t xml:space="preserve">Für das Land Niedersachsen:</w:t>
      </w:r>
    </w:p>
    <w:p>
      <w:r>
        <w:t xml:space="preserve">Niedersächsisches Umweltministerium</w:t>
      </w:r>
    </w:p>
    <w:p>
      <w:r>
        <w:t xml:space="preserve">Wolfgang J ü t t n e r</w:t>
      </w:r>
    </w:p>
    <w:p>
      <w:r>
        <w:t xml:space="preserve">Düsseldorf, den 12. Oktober 2002</w:t>
      </w:r>
    </w:p>
    <w:p>
      <w:r>
        <w:t xml:space="preserve">Für das Land Nordrhein-Westfalen:</w:t>
      </w:r>
    </w:p>
    <w:p>
      <w:r>
        <w:t xml:space="preserve">Ministerium für Umwelt und Naturschutz,</w:t>
      </w:r>
    </w:p>
    <w:p>
      <w:r>
        <w:t xml:space="preserve">Landwirtschaft und Verbraucherschutz Nordrhein-Westfalen</w:t>
      </w:r>
    </w:p>
    <w:p>
      <w:r>
        <w:t xml:space="preserve">Bärbel H ö h n</w:t>
      </w:r>
    </w:p>
    <w:p>
      <w:r>
        <w:rPr>
          <w:color w:val="555555"/>
          <w:sz w:val="17"/>
        </w:rPr>
        <w:t xml:space="preserve">Zitiervorschlag: § 8 NW_28241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