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NW_28241 (Nordrhein-Westfalen) — Geltungsdauer, Kündigung, Geltung anderer Vorschriften</w:t>
      </w:r>
    </w:p>
    <w:p>
      <w:r>
        <w:rPr>
          <w:color w:val="555555"/>
          <w:sz w:val="18"/>
        </w:rPr>
        <w:t xml:space="preserve">Bekanntmachung der Verwaltungsvereinbarung über die Bildung einer Flussgebietsgemeinschaft Ems zur Umsetzung der RL 2000/60/EG - Wasserrahmenrichtlinie (WRRL) - in der Flussgebietseinheit Ems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besteht Einigkeit, dass diese Vereinbarung zunächst den Koordinierungsverpflichtungen für die Bestandsaufnahme nach Artikel 5 WRRL zugrundegelegt werden soll. Nach Abschluss der Bestandsaufnahme prüfen die Länder, ob eine Anpassung erforderlich ist.</w:t>
      </w:r>
    </w:p>
    <w:p>
      <w:r>
        <w:t xml:space="preserve">(2) Die Vereinbarung kann im Einvernehmen beendet oder von jedem Land durch schriftliche Erklärung zum Schluss des Kalenderjahres mit einer Frist von einem Jahr gekündigt werden.</w:t>
      </w:r>
    </w:p>
    <w:p>
      <w:r>
        <w:t xml:space="preserve">(3) Die Geschäftsordnungen der beteiligten Behörden für die Wahrnehmung der Aufgaben der Geschäftsstelle bleiben unberührt. Gleiches gilt für die wasserbehördlichen Zuständigkeiten.</w:t>
      </w:r>
    </w:p>
    <w:p>
      <w:r>
        <w:rPr>
          <w:color w:val="555555"/>
          <w:sz w:val="17"/>
        </w:rPr>
        <w:t xml:space="preserve">Zitiervorschlag: § 7 NW_28241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https://recht.nulegal.eu/gesetze/NW_28241/7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