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NW_28241 (Nordrhein-Westfalen) — Geltungsbereich</w:t>
      </w:r>
    </w:p>
    <w:p>
      <w:r>
        <w:rPr>
          <w:color w:val="555555"/>
          <w:sz w:val="18"/>
        </w:rPr>
        <w:t xml:space="preserve">Bekanntmachung der Verwaltungsvereinbarung über die Bildung einer Flussgebietsgemeinschaft Ems zur Umsetzung der RL 2000/60/EG - Wasserrahmenrichtlinie (WRRL) - in der Flussgebietseinheit Ems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Entscheidungs-, Koordinierungs- und Abstimmungsaufgaben beziehen sich auf die im Hoheitsgebiet der Länder liegenden Teile der internationalen Flussgebietseinheit Ems - nachfolgend FGE Ems (d) genannt - einschließlich der von den Ländern nach Maßgabe des § 1b Abs. 3 WHG zugeordneten Einzugsgebiete und Grundwasserkörper.</w:t>
      </w:r>
    </w:p>
    <w:p>
      <w:r>
        <w:t xml:space="preserve">(2) Die FGE Ems (d) setzt sich aus folgenden, nach hydrologischen Gesichtspunkten gebildeten Bearbeitungsgebieten/Koordinationsräumen zusammen:</w:t>
      </w:r>
    </w:p>
    <w:p>
      <w:r>
        <w:t xml:space="preserve">1. Ems/Quelle</w:t>
      </w:r>
    </w:p>
    <w:p>
      <w:r>
        <w:t xml:space="preserve">2. Ems/Große Aa</w:t>
      </w:r>
    </w:p>
    <w:p>
      <w:r>
        <w:t xml:space="preserve">3. Hase</w:t>
      </w:r>
    </w:p>
    <w:p>
      <w:r>
        <w:t xml:space="preserve">4. Ems/Nordradde</w:t>
      </w:r>
    </w:p>
    <w:p>
      <w:r>
        <w:t xml:space="preserve">5. Leda-Jümme</w:t>
      </w:r>
    </w:p>
    <w:p>
      <w:r>
        <w:t xml:space="preserve">6. Untere Ems</w:t>
      </w:r>
    </w:p>
    <w:p>
      <w:r>
        <w:rPr>
          <w:color w:val="555555"/>
          <w:sz w:val="17"/>
        </w:rPr>
        <w:t xml:space="preserve">Zitiervorschlag: § 1 NW_28241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